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4E" w:rsidRDefault="00D039EA">
      <w:pPr>
        <w:pStyle w:val="Standard"/>
        <w:spacing w:line="120" w:lineRule="atLeast"/>
        <w:jc w:val="center"/>
        <w:rPr>
          <w:rFonts w:hint="eastAsia"/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Przedmiotowy</w:t>
      </w:r>
      <w:r>
        <w:rPr>
          <w:sz w:val="40"/>
          <w:szCs w:val="40"/>
        </w:rPr>
        <w:t xml:space="preserve"> systemu oceniania </w:t>
      </w:r>
      <w:r>
        <w:rPr>
          <w:sz w:val="40"/>
          <w:szCs w:val="40"/>
        </w:rPr>
        <w:br/>
      </w:r>
      <w:r>
        <w:rPr>
          <w:sz w:val="40"/>
          <w:szCs w:val="40"/>
        </w:rPr>
        <w:t>wraz z określeniem wymagań edukacyjnych</w:t>
      </w:r>
    </w:p>
    <w:p w:rsidR="00D25C4E" w:rsidRDefault="00D039EA">
      <w:pPr>
        <w:pStyle w:val="StronaTytuowaTytu"/>
        <w:spacing w:line="120" w:lineRule="atLeast"/>
      </w:pPr>
      <w:r>
        <w:t>MATeMAtyka</w:t>
      </w:r>
    </w:p>
    <w:p w:rsidR="00D25C4E" w:rsidRDefault="00D039EA">
      <w:pPr>
        <w:pStyle w:val="StronaTytuowaTytu"/>
        <w:spacing w:line="120" w:lineRule="atLeast"/>
        <w:rPr>
          <w:sz w:val="44"/>
          <w:szCs w:val="44"/>
        </w:rPr>
      </w:pPr>
      <w:r>
        <w:rPr>
          <w:sz w:val="44"/>
          <w:szCs w:val="44"/>
        </w:rPr>
        <w:t>Zakres podstawowy</w:t>
      </w: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25C4E">
      <w:pPr>
        <w:pStyle w:val="Standard"/>
        <w:rPr>
          <w:rFonts w:hint="eastAsia"/>
        </w:rPr>
      </w:pPr>
    </w:p>
    <w:p w:rsidR="00D25C4E" w:rsidRDefault="00D039EA">
      <w:pPr>
        <w:pStyle w:val="Textbodyindent"/>
        <w:pageBreakBefore/>
        <w:spacing w:line="120" w:lineRule="atLeast"/>
        <w:ind w:left="0"/>
        <w:jc w:val="both"/>
        <w:rPr>
          <w:rFonts w:hint="eastAsia"/>
        </w:rPr>
      </w:pPr>
      <w:r>
        <w:rPr>
          <w:rFonts w:ascii="Cambria" w:eastAsia="Calibri" w:hAnsi="Cambria"/>
          <w:iCs/>
          <w:sz w:val="22"/>
          <w:szCs w:val="22"/>
          <w:lang w:eastAsia="en-US"/>
        </w:rPr>
        <w:lastRenderedPageBreak/>
        <w:t>Wyróżnione zostały następujące wymagania programowe: konieczne (K), podstawowe (P), rozszerzające (R), dopełniające (D) i wykraczające</w:t>
      </w:r>
      <w:r>
        <w:rPr>
          <w:rFonts w:ascii="Cambria" w:eastAsia="Calibri" w:hAnsi="Cambria"/>
          <w:iCs/>
          <w:sz w:val="22"/>
          <w:szCs w:val="22"/>
          <w:lang w:eastAsia="en-US"/>
        </w:rPr>
        <w:t xml:space="preserve"> (W). Wymienione poziomy wymagań odpowiadają w przybliżeniu ocenom szkolnym. Nauczyciel, określając te poziomy, powinien zatem sprecyzować, czy opanowania pewnych czynności lub wiedzy będzie wymagał na ocenę dopuszczającą (2), dostateczną (3), dobrą (4), b</w:t>
      </w:r>
      <w:r>
        <w:rPr>
          <w:rFonts w:ascii="Cambria" w:eastAsia="Calibri" w:hAnsi="Cambria"/>
          <w:iCs/>
          <w:sz w:val="22"/>
          <w:szCs w:val="22"/>
          <w:lang w:eastAsia="en-US"/>
        </w:rPr>
        <w:t>ardzo dobrą (5) lub celującą (6).</w:t>
      </w:r>
    </w:p>
    <w:p w:rsidR="00D25C4E" w:rsidRDefault="00D25C4E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D25C4E" w:rsidRDefault="00D039EA">
      <w:pPr>
        <w:pStyle w:val="Standard"/>
        <w:numPr>
          <w:ilvl w:val="0"/>
          <w:numId w:val="59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konieczne (K)</w:t>
      </w:r>
      <w:r>
        <w:rPr>
          <w:rFonts w:ascii="Cambria" w:hAnsi="Cambria"/>
          <w:sz w:val="22"/>
          <w:szCs w:val="22"/>
        </w:rPr>
        <w:t xml:space="preserve"> dotyczą zagadnień elementarnych, stanowiących swego rodzaju podstawę, zatem powinny być opanowane przez każdego ucznia.</w:t>
      </w:r>
    </w:p>
    <w:p w:rsidR="00D25C4E" w:rsidRDefault="00D039EA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podstawowe (P)</w:t>
      </w:r>
      <w:r>
        <w:rPr>
          <w:rFonts w:ascii="Cambria" w:hAnsi="Cambria"/>
          <w:sz w:val="22"/>
          <w:szCs w:val="22"/>
        </w:rPr>
        <w:t xml:space="preserve"> zawierają wymagania z poziomu (K) wzbogacone 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o typo</w:t>
      </w:r>
      <w:r>
        <w:rPr>
          <w:rFonts w:ascii="Cambria" w:hAnsi="Cambria"/>
          <w:sz w:val="22"/>
          <w:szCs w:val="22"/>
        </w:rPr>
        <w:t>we problemy o niewielkim stopniu trudności.</w:t>
      </w:r>
    </w:p>
    <w:p w:rsidR="00D25C4E" w:rsidRDefault="00D039EA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rozszerzające (R)</w:t>
      </w:r>
      <w:r>
        <w:rPr>
          <w:rFonts w:ascii="Cambria" w:hAnsi="Cambria"/>
          <w:sz w:val="22"/>
          <w:szCs w:val="22"/>
        </w:rPr>
        <w:t>, zawierające wymagania z poziomów (K) i (P), dotyczą zagadnień bardziej złożonych i nieco trudniejszych.</w:t>
      </w:r>
    </w:p>
    <w:p w:rsidR="00D25C4E" w:rsidRDefault="00D039EA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dopełniające (D)</w:t>
      </w:r>
      <w:r>
        <w:rPr>
          <w:rFonts w:ascii="Cambria" w:hAnsi="Cambria"/>
          <w:sz w:val="22"/>
          <w:szCs w:val="22"/>
        </w:rPr>
        <w:t>, zawierające wymagania z poziomów (K), (P) i (R), do</w:t>
      </w:r>
      <w:r>
        <w:rPr>
          <w:rFonts w:ascii="Cambria" w:hAnsi="Cambria"/>
          <w:sz w:val="22"/>
          <w:szCs w:val="22"/>
        </w:rPr>
        <w:t>tyczą zagadnień problemowych, trudniejszych, wymagających umiejętności przetwarzania przyswojonych informacji.</w:t>
      </w:r>
    </w:p>
    <w:p w:rsidR="00D25C4E" w:rsidRDefault="00D039EA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wykraczające (W)</w:t>
      </w:r>
      <w:r>
        <w:rPr>
          <w:rFonts w:ascii="Cambria" w:hAnsi="Cambria"/>
          <w:sz w:val="22"/>
          <w:szCs w:val="22"/>
        </w:rPr>
        <w:t xml:space="preserve"> dotyczą zagadnień trudnych i oryginalnych.</w:t>
      </w:r>
    </w:p>
    <w:p w:rsidR="00D25C4E" w:rsidRDefault="00D25C4E">
      <w:pPr>
        <w:pStyle w:val="Standard"/>
        <w:spacing w:line="120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D25C4E" w:rsidRDefault="00D039EA">
      <w:pPr>
        <w:pStyle w:val="Standard"/>
        <w:spacing w:after="120" w:line="12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Poniżej przedstawiony został podział wymagań na poszczególne oceny </w:t>
      </w:r>
      <w:r>
        <w:rPr>
          <w:rFonts w:ascii="Cambria" w:hAnsi="Cambria"/>
          <w:sz w:val="22"/>
          <w:szCs w:val="22"/>
        </w:rPr>
        <w:t>szkolne:</w:t>
      </w:r>
    </w:p>
    <w:p w:rsidR="00D25C4E" w:rsidRDefault="00D039EA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dopuszczająca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</w:t>
      </w:r>
    </w:p>
    <w:p w:rsidR="00D25C4E" w:rsidRDefault="00D039EA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dostateczna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 i (P)</w:t>
      </w:r>
    </w:p>
    <w:p w:rsidR="00D25C4E" w:rsidRDefault="00D039EA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 i (R)</w:t>
      </w:r>
    </w:p>
    <w:p w:rsidR="00D25C4E" w:rsidRDefault="00D039EA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bardzo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(P), (R) i (D)</w:t>
      </w:r>
    </w:p>
    <w:p w:rsidR="00D25C4E" w:rsidRDefault="00D039EA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celująca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</w:t>
      </w:r>
      <w:r>
        <w:rPr>
          <w:rFonts w:ascii="Cambria" w:hAnsi="Cambria"/>
          <w:sz w:val="22"/>
          <w:szCs w:val="22"/>
        </w:rPr>
        <w:t>a poziomie (K), (P), (R), (D) i (W)</w:t>
      </w:r>
    </w:p>
    <w:p w:rsidR="00D25C4E" w:rsidRDefault="00D25C4E">
      <w:pPr>
        <w:pStyle w:val="Standard"/>
        <w:spacing w:line="120" w:lineRule="atLeast"/>
        <w:ind w:left="360"/>
        <w:jc w:val="both"/>
        <w:rPr>
          <w:rFonts w:hint="eastAsia"/>
        </w:rPr>
      </w:pPr>
    </w:p>
    <w:p w:rsidR="00D25C4E" w:rsidRDefault="00D25C4E">
      <w:pPr>
        <w:pStyle w:val="Standard"/>
        <w:jc w:val="both"/>
        <w:rPr>
          <w:rFonts w:hint="eastAsia"/>
        </w:rPr>
      </w:pPr>
    </w:p>
    <w:p w:rsidR="00D25C4E" w:rsidRDefault="00D039EA">
      <w:pPr>
        <w:pStyle w:val="Standard"/>
        <w:spacing w:line="120" w:lineRule="atLeast"/>
        <w:jc w:val="both"/>
        <w:rPr>
          <w:rFonts w:ascii="Cambria" w:hAnsi="Cambria"/>
          <w:color w:val="0066B3"/>
          <w:sz w:val="22"/>
          <w:szCs w:val="22"/>
        </w:rPr>
      </w:pPr>
      <w:r>
        <w:rPr>
          <w:rFonts w:ascii="Cambria" w:hAnsi="Cambria"/>
          <w:color w:val="0066B3"/>
          <w:sz w:val="22"/>
          <w:szCs w:val="22"/>
        </w:rPr>
        <w:t>KLASA V</w:t>
      </w:r>
    </w:p>
    <w:p w:rsidR="00D25C4E" w:rsidRDefault="00D25C4E">
      <w:pPr>
        <w:pStyle w:val="Standard"/>
        <w:spacing w:line="120" w:lineRule="atLeast"/>
        <w:jc w:val="both"/>
        <w:rPr>
          <w:rFonts w:ascii="Cambria" w:hAnsi="Cambria"/>
          <w:color w:val="0066B3"/>
          <w:sz w:val="22"/>
          <w:szCs w:val="22"/>
        </w:rPr>
      </w:pPr>
    </w:p>
    <w:p w:rsidR="00D25C4E" w:rsidRDefault="00D039EA">
      <w:pPr>
        <w:pStyle w:val="Standard"/>
        <w:rPr>
          <w:rFonts w:hint="eastAsia"/>
        </w:rPr>
      </w:pPr>
      <w:r>
        <w:rPr>
          <w:b/>
          <w:bCs/>
        </w:rPr>
        <w:t xml:space="preserve">17. </w:t>
      </w:r>
      <w:r>
        <w:rPr>
          <w:b/>
          <w:bCs/>
          <w:sz w:val="22"/>
          <w:szCs w:val="22"/>
        </w:rPr>
        <w:t>RACHUNEK PRAWDOPODOBIEŃSTWA</w:t>
      </w: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6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wypisuje wszystkie możliwe wyniki danego doświadczenia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regułę mnożenia do wyznaczenia liczby wyników doświadczenia spełniających dany warunek – w typowych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przedstawia </w:t>
            </w:r>
            <w:r>
              <w:rPr>
                <w:bCs/>
                <w:sz w:val="22"/>
                <w:szCs w:val="22"/>
              </w:rPr>
              <w:t>drzewo ilustrujące wyniki danego doświadczenia – w prostych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wypisuje wszystkie możliwe permutacje danego zbioru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obliczenia, stosując definicję silni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permutacji danego zbioru</w:t>
            </w:r>
            <w:r>
              <w:rPr>
                <w:bCs/>
                <w:sz w:val="22"/>
                <w:szCs w:val="22"/>
              </w:rPr>
              <w:t xml:space="preserve"> – w prostych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wari</w:t>
            </w:r>
            <w:r>
              <w:rPr>
                <w:sz w:val="22"/>
                <w:szCs w:val="22"/>
              </w:rPr>
              <w:t>acji bez powtórzeń</w:t>
            </w:r>
            <w:r>
              <w:rPr>
                <w:bCs/>
                <w:sz w:val="22"/>
                <w:szCs w:val="22"/>
              </w:rPr>
              <w:t xml:space="preserve"> – w prostych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wariacji z powtórzeniami</w:t>
            </w:r>
            <w:r>
              <w:rPr>
                <w:bCs/>
                <w:sz w:val="22"/>
                <w:szCs w:val="22"/>
              </w:rPr>
              <w:t xml:space="preserve"> – w prostych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regułę dodawania do obliczania liczby wyników doświadczenia spełniających dany warunek – w prostych sytuacjach  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określa przestrzeń (zbiór</w:t>
            </w:r>
            <w:r>
              <w:rPr>
                <w:bCs/>
                <w:sz w:val="22"/>
                <w:szCs w:val="22"/>
              </w:rPr>
              <w:t>) zdarzeń elementarnych dla danego doświadczenia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opisuje wyniki sprzyjające danemu zdarzeniu losowemu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zdarzenia: przeciwne, niemożliwe, pewne i wykluczające się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stosuje klasyczną definicję prawdopodobieństwa do obliczania prawdopodobieństw </w:t>
            </w:r>
            <w:r>
              <w:rPr>
                <w:sz w:val="22"/>
                <w:szCs w:val="22"/>
              </w:rPr>
              <w:t xml:space="preserve">zdarzeń losowych – w typowych </w:t>
            </w:r>
            <w:r>
              <w:rPr>
                <w:bCs/>
                <w:sz w:val="22"/>
                <w:szCs w:val="22"/>
              </w:rPr>
              <w:t>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prawdopodobieństwo zdarzenia przeciwnego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stosuje twierdzenie o prawdopodobieństwie sumy zdarzeń – </w:t>
            </w:r>
            <w:r>
              <w:rPr>
                <w:bCs/>
                <w:sz w:val="22"/>
                <w:szCs w:val="22"/>
              </w:rPr>
              <w:t>w prostych sytuacjach</w:t>
            </w:r>
          </w:p>
        </w:tc>
      </w:tr>
    </w:tbl>
    <w:p w:rsidR="00D25C4E" w:rsidRDefault="00D25C4E">
      <w:pPr>
        <w:pStyle w:val="Standard"/>
        <w:jc w:val="both"/>
        <w:rPr>
          <w:rFonts w:hint="eastAsia"/>
          <w:sz w:val="22"/>
          <w:szCs w:val="22"/>
        </w:rPr>
      </w:pP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</w:t>
      </w:r>
      <w:r>
        <w:rPr>
          <w:sz w:val="22"/>
          <w:szCs w:val="22"/>
        </w:rPr>
        <w:t>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regułę mnożenia i regułę dodawania do obliczania liczby wyników doświadczenia spełniających dany warunek – w złożonych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lastRenderedPageBreak/>
              <w:t>oblicza liczbę permutacji danego zbioru</w:t>
            </w:r>
            <w:r>
              <w:rPr>
                <w:bCs/>
                <w:sz w:val="22"/>
                <w:szCs w:val="22"/>
              </w:rPr>
              <w:t xml:space="preserve"> – w złożonych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waria</w:t>
            </w:r>
            <w:r>
              <w:rPr>
                <w:sz w:val="22"/>
                <w:szCs w:val="22"/>
              </w:rPr>
              <w:t>cji bez powtórzeń</w:t>
            </w:r>
            <w:r>
              <w:rPr>
                <w:bCs/>
                <w:sz w:val="22"/>
                <w:szCs w:val="22"/>
              </w:rPr>
              <w:t xml:space="preserve"> – w złożonych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wariacji z powtórzeniami</w:t>
            </w:r>
            <w:r>
              <w:rPr>
                <w:bCs/>
                <w:sz w:val="22"/>
                <w:szCs w:val="22"/>
              </w:rPr>
              <w:t xml:space="preserve"> – w złożonych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61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sumę, iloczyn i różnicę zdarzeń losowych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stosuje klasyczną definicję prawdopodobieństwa do obliczania prawdopodobieństw zdarzeń losowych</w:t>
            </w:r>
            <w:r>
              <w:rPr>
                <w:sz w:val="22"/>
                <w:szCs w:val="22"/>
              </w:rPr>
              <w:t xml:space="preserve"> – w złożonych </w:t>
            </w:r>
            <w:r>
              <w:rPr>
                <w:bCs/>
                <w:sz w:val="22"/>
                <w:szCs w:val="22"/>
              </w:rPr>
              <w:t>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własności prawdopodobieństwa do obliczania prawdopodobieństw zdarzeń</w:t>
            </w:r>
          </w:p>
        </w:tc>
      </w:tr>
    </w:tbl>
    <w:p w:rsidR="00D25C4E" w:rsidRDefault="00D25C4E">
      <w:pPr>
        <w:pStyle w:val="Standard"/>
        <w:jc w:val="both"/>
        <w:rPr>
          <w:rFonts w:hint="eastAsia"/>
          <w:sz w:val="22"/>
          <w:szCs w:val="22"/>
        </w:rPr>
      </w:pP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D25C4E" w:rsidRDefault="00D039EA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od (K) do 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Textbody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własności prawdopodobieństwa w dowodach twierdzeń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Textbody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o znacznym stopniu trudności dotyczące prawdopodobieństwa</w:t>
            </w:r>
          </w:p>
        </w:tc>
      </w:tr>
    </w:tbl>
    <w:p w:rsidR="00D25C4E" w:rsidRDefault="00D25C4E">
      <w:pPr>
        <w:pStyle w:val="Standard"/>
        <w:rPr>
          <w:rFonts w:hint="eastAsia"/>
          <w:sz w:val="22"/>
          <w:szCs w:val="22"/>
        </w:rPr>
      </w:pPr>
    </w:p>
    <w:p w:rsidR="00D25C4E" w:rsidRDefault="00D25C4E">
      <w:pPr>
        <w:pStyle w:val="Nagwek1"/>
        <w:rPr>
          <w:rFonts w:hint="eastAsia"/>
          <w:sz w:val="22"/>
          <w:szCs w:val="22"/>
        </w:rPr>
      </w:pPr>
    </w:p>
    <w:p w:rsidR="00D25C4E" w:rsidRDefault="00D039EA">
      <w:pPr>
        <w:pStyle w:val="Nagwek1"/>
        <w:rPr>
          <w:rFonts w:hint="eastAsia"/>
        </w:rPr>
      </w:pPr>
      <w:r>
        <w:rPr>
          <w:sz w:val="22"/>
          <w:szCs w:val="22"/>
        </w:rPr>
        <w:t>18. GRANIAST</w:t>
      </w:r>
      <w:r>
        <w:rPr>
          <w:sz w:val="22"/>
          <w:szCs w:val="22"/>
        </w:rPr>
        <w:t>OSŁUPY I OSTROSŁUPY</w:t>
      </w: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62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w wielościanie proste prostopadłe, równoległe i skośne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w wielościanie rzut prostokątny danego odcinka na daną płaszczyznę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liczbę ścian, wierzchołków i krawędzi wie</w:t>
            </w:r>
            <w:r>
              <w:rPr>
                <w:sz w:val="22"/>
                <w:szCs w:val="22"/>
              </w:rPr>
              <w:t>lościanu; sprawdza, czy istnieje graniastosłup o danej liczbie krawędzi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elementy charakterystyczne wielościanu (np. wierzchołek ostrosłupa)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pole powierzchni bocznej i całkowitej graniastosłupa oraz ostrosłupa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rysuje siatkę wielościanu </w:t>
            </w:r>
            <w:r>
              <w:rPr>
                <w:sz w:val="22"/>
                <w:szCs w:val="22"/>
              </w:rPr>
              <w:t>na podstawie jej fragmentu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długości przekątnych graniastosłupa prostego – w prostych przypadkach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objętość graniastosłupa prostego i ostrosłupa prawidłowego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kąt między przekątną graniastosłupa a płaszczyzną jego podstawy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</w:t>
            </w:r>
            <w:r>
              <w:rPr>
                <w:sz w:val="22"/>
                <w:szCs w:val="22"/>
              </w:rPr>
              <w:t>e kąty między odcinkami w ostrosłupie a płaszczyzną jego podstawy – w prostych przypadkach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kąt między sąsiednimi ścianami wielościanu – w prostych przypadkach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typowe zadania dotyczące kąta między prostą a płaszczyzną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funkcje</w:t>
            </w:r>
            <w:r>
              <w:rPr>
                <w:sz w:val="22"/>
                <w:szCs w:val="22"/>
              </w:rPr>
              <w:t xml:space="preserve"> trygonometryczne do obliczania pola powierzchni i objętości wielościanu – w prostych sytuacjach</w:t>
            </w:r>
          </w:p>
        </w:tc>
      </w:tr>
    </w:tbl>
    <w:p w:rsidR="00D25C4E" w:rsidRDefault="00D25C4E">
      <w:pPr>
        <w:pStyle w:val="Standard"/>
        <w:jc w:val="both"/>
        <w:rPr>
          <w:rFonts w:hint="eastAsia"/>
          <w:sz w:val="22"/>
          <w:szCs w:val="22"/>
        </w:rPr>
      </w:pPr>
    </w:p>
    <w:p w:rsidR="00D25C4E" w:rsidRDefault="00D039EA">
      <w:pPr>
        <w:pStyle w:val="Standard"/>
        <w:tabs>
          <w:tab w:val="left" w:pos="3855"/>
        </w:tabs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  <w:r>
        <w:rPr>
          <w:b/>
          <w:bCs/>
          <w:sz w:val="22"/>
          <w:szCs w:val="22"/>
        </w:rPr>
        <w:tab/>
      </w: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wnioskowania dotyczące położe</w:t>
            </w:r>
            <w:r>
              <w:rPr>
                <w:sz w:val="22"/>
                <w:szCs w:val="22"/>
              </w:rPr>
              <w:t>nia prostych w przestrzeni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i przekształca wzory na pola powierzchni i objętości wielościanów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stosuje </w:t>
            </w:r>
            <w:r>
              <w:rPr>
                <w:sz w:val="22"/>
                <w:szCs w:val="22"/>
              </w:rPr>
              <w:t>funkcje trygonometryczne i</w:t>
            </w:r>
            <w:r>
              <w:rPr>
                <w:bCs/>
                <w:sz w:val="22"/>
                <w:szCs w:val="22"/>
              </w:rPr>
              <w:t xml:space="preserve"> twierdzenia planimetrii</w:t>
            </w:r>
          </w:p>
          <w:p w:rsidR="00D25C4E" w:rsidRDefault="00D039EA">
            <w:pPr>
              <w:pStyle w:val="Standard"/>
              <w:ind w:left="720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obliczenia pola powierzchni i objętości wielościanu – w złożonych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miarę kąta dwuściennego między ścianami wielościanu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dotyczące miary kąta między prostą a płaszczyzną (również z wykorzys</w:t>
            </w:r>
            <w:r>
              <w:rPr>
                <w:sz w:val="22"/>
                <w:szCs w:val="22"/>
              </w:rPr>
              <w:t>taniem trygonometrii) – w trudnych sytuacjach</w:t>
            </w:r>
          </w:p>
        </w:tc>
      </w:tr>
    </w:tbl>
    <w:p w:rsidR="00D25C4E" w:rsidRDefault="00D25C4E">
      <w:pPr>
        <w:pStyle w:val="Standard"/>
        <w:jc w:val="both"/>
        <w:rPr>
          <w:rFonts w:hint="eastAsia"/>
          <w:sz w:val="22"/>
          <w:szCs w:val="22"/>
        </w:rPr>
      </w:pPr>
    </w:p>
    <w:p w:rsidR="00D25C4E" w:rsidRDefault="00D25C4E">
      <w:pPr>
        <w:pStyle w:val="Standard"/>
        <w:jc w:val="both"/>
        <w:rPr>
          <w:rFonts w:hint="eastAsia"/>
          <w:sz w:val="22"/>
          <w:szCs w:val="22"/>
        </w:rPr>
      </w:pP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D25C4E" w:rsidRDefault="00D039EA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od (K) do 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6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o znacznym stopniu trudności dotyczące wielościanów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przeprowadza dowody </w:t>
            </w:r>
            <w:r>
              <w:rPr>
                <w:sz w:val="22"/>
                <w:szCs w:val="22"/>
              </w:rPr>
              <w:t>twierdzeń dotyczących związków miarowych w wielościanach</w:t>
            </w:r>
          </w:p>
        </w:tc>
      </w:tr>
    </w:tbl>
    <w:p w:rsidR="00D25C4E" w:rsidRDefault="00D25C4E">
      <w:pPr>
        <w:pStyle w:val="Nagwek1"/>
        <w:rPr>
          <w:rFonts w:hint="eastAsia"/>
          <w:sz w:val="22"/>
          <w:szCs w:val="22"/>
        </w:rPr>
      </w:pPr>
    </w:p>
    <w:p w:rsidR="00D25C4E" w:rsidRDefault="00D039EA">
      <w:pPr>
        <w:pStyle w:val="Nagwek1"/>
        <w:rPr>
          <w:rFonts w:hint="eastAsia"/>
        </w:rPr>
      </w:pPr>
      <w:r>
        <w:rPr>
          <w:sz w:val="22"/>
          <w:szCs w:val="22"/>
        </w:rPr>
        <w:t>19. BRYŁY OBROTOWE</w:t>
      </w:r>
    </w:p>
    <w:p w:rsidR="00D25C4E" w:rsidRDefault="00D039EA">
      <w:pPr>
        <w:pStyle w:val="Standard"/>
        <w:rPr>
          <w:rFonts w:hint="eastAsia"/>
        </w:rPr>
      </w:pPr>
      <w:r>
        <w:rPr>
          <w:sz w:val="22"/>
          <w:szCs w:val="22"/>
        </w:rPr>
        <w:t>Poziom (</w:t>
      </w:r>
      <w:r>
        <w:rPr>
          <w:b/>
          <w:bCs/>
          <w:sz w:val="22"/>
          <w:szCs w:val="22"/>
        </w:rPr>
        <w:t>K</w:t>
      </w:r>
      <w:r>
        <w:rPr>
          <w:sz w:val="22"/>
          <w:szCs w:val="22"/>
        </w:rPr>
        <w:t>) lub (</w:t>
      </w:r>
      <w:r>
        <w:rPr>
          <w:b/>
          <w:bCs/>
          <w:sz w:val="22"/>
          <w:szCs w:val="22"/>
        </w:rPr>
        <w:t>P</w:t>
      </w:r>
      <w:r>
        <w:rPr>
          <w:sz w:val="22"/>
          <w:szCs w:val="22"/>
        </w:rPr>
        <w:t>)</w:t>
      </w:r>
    </w:p>
    <w:p w:rsidR="00D25C4E" w:rsidRDefault="00D039EA">
      <w:pPr>
        <w:pStyle w:val="Standard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elementy charakterystyczne bryły obrotowej (np. kąt rozwarcia stożka)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zaznacza przekrój o</w:t>
            </w:r>
            <w:r>
              <w:rPr>
                <w:sz w:val="22"/>
                <w:szCs w:val="22"/>
              </w:rPr>
              <w:t>siowy walca i stożka oraz przekroje kuli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pole powierzchni i objętość bryły obrotowej – w prostych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dotyczące rozwinięcia powierzchni bocznej walca i stożka – w prostych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funkcje trygonometryczne do </w:t>
            </w:r>
            <w:r>
              <w:rPr>
                <w:sz w:val="22"/>
                <w:szCs w:val="22"/>
              </w:rPr>
              <w:t>obliczania pola powierzchni i objętości bryły obrotowej – w prostych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skalę podobieństwa brył podobnych – w prostych przypadkach</w:t>
            </w:r>
          </w:p>
        </w:tc>
      </w:tr>
    </w:tbl>
    <w:p w:rsidR="00D25C4E" w:rsidRDefault="00D25C4E">
      <w:pPr>
        <w:pStyle w:val="Standard"/>
        <w:rPr>
          <w:rFonts w:hint="eastAsia"/>
          <w:sz w:val="22"/>
          <w:szCs w:val="22"/>
        </w:rPr>
      </w:pPr>
    </w:p>
    <w:p w:rsidR="00D25C4E" w:rsidRDefault="00D039EA">
      <w:pPr>
        <w:pStyle w:val="Standard"/>
        <w:tabs>
          <w:tab w:val="left" w:pos="3855"/>
        </w:tabs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  <w:r>
        <w:rPr>
          <w:b/>
          <w:bCs/>
          <w:sz w:val="22"/>
          <w:szCs w:val="22"/>
        </w:rPr>
        <w:tab/>
      </w:r>
    </w:p>
    <w:p w:rsidR="00D25C4E" w:rsidRDefault="00D039EA">
      <w:pPr>
        <w:pStyle w:val="Standard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</w:t>
      </w:r>
      <w:r>
        <w:rPr>
          <w:sz w:val="22"/>
          <w:szCs w:val="22"/>
        </w:rPr>
        <w:t>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stosuje </w:t>
            </w:r>
            <w:r>
              <w:rPr>
                <w:sz w:val="22"/>
                <w:szCs w:val="22"/>
              </w:rPr>
              <w:t>funkcje trygonometryczne i</w:t>
            </w:r>
            <w:r>
              <w:rPr>
                <w:bCs/>
                <w:sz w:val="22"/>
                <w:szCs w:val="22"/>
              </w:rPr>
              <w:t xml:space="preserve"> twierdzenia planimetrii</w:t>
            </w:r>
          </w:p>
          <w:p w:rsidR="00D25C4E" w:rsidRDefault="00D039EA">
            <w:pPr>
              <w:pStyle w:val="Standard"/>
              <w:ind w:left="720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obliczenia pola powierzchni i objętości bryły obrotowej – w złożonych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podobieństwo brył i skalę podobieństwa brył podobnych podczas rozwiązywania zadań</w:t>
            </w:r>
          </w:p>
        </w:tc>
      </w:tr>
    </w:tbl>
    <w:p w:rsidR="00D25C4E" w:rsidRDefault="00D25C4E">
      <w:pPr>
        <w:pStyle w:val="Standard"/>
        <w:rPr>
          <w:rFonts w:hint="eastAsia"/>
          <w:sz w:val="22"/>
          <w:szCs w:val="22"/>
        </w:rPr>
      </w:pP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D25C4E" w:rsidRDefault="00D039EA">
      <w:pPr>
        <w:pStyle w:val="Standard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od (K) do 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64"/>
              </w:numPr>
              <w:spacing w:line="276" w:lineRule="auto"/>
              <w:rPr>
                <w:rFonts w:hint="eastAsia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rozwiązuje zadania o znacznym stopniu trudności dotyczące brył obrotowych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7"/>
              </w:numPr>
              <w:spacing w:line="276" w:lineRule="auto"/>
              <w:rPr>
                <w:rFonts w:hint="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przeprowadza dowody twierdzeń dotyczących związków miarowych w bryłach</w:t>
            </w:r>
            <w:r>
              <w:rPr>
                <w:sz w:val="22"/>
                <w:szCs w:val="22"/>
                <w:lang w:eastAsia="en-US"/>
              </w:rPr>
              <w:t xml:space="preserve"> obrotowych</w:t>
            </w:r>
          </w:p>
        </w:tc>
      </w:tr>
    </w:tbl>
    <w:p w:rsidR="00D25C4E" w:rsidRDefault="00D25C4E">
      <w:pPr>
        <w:pStyle w:val="Standard"/>
        <w:rPr>
          <w:rFonts w:hint="eastAsia"/>
          <w:sz w:val="22"/>
          <w:szCs w:val="22"/>
        </w:rPr>
      </w:pPr>
    </w:p>
    <w:p w:rsidR="00D25C4E" w:rsidRDefault="00D25C4E">
      <w:pPr>
        <w:pStyle w:val="Standard"/>
        <w:rPr>
          <w:rFonts w:hint="eastAsia"/>
          <w:sz w:val="22"/>
          <w:szCs w:val="22"/>
        </w:rPr>
      </w:pPr>
    </w:p>
    <w:p w:rsidR="00D25C4E" w:rsidRDefault="00D039EA">
      <w:pPr>
        <w:pStyle w:val="Nagwek1"/>
        <w:rPr>
          <w:rFonts w:hint="eastAsia"/>
        </w:rPr>
      </w:pPr>
      <w:r>
        <w:rPr>
          <w:sz w:val="22"/>
          <w:szCs w:val="22"/>
        </w:rPr>
        <w:t>20. PRZYKŁADY DOWODÓW W MATEMATYCE</w:t>
      </w: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proste dowody dotyczące własności liczb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przeprowadza proste dowody, stosując metodę równoważnego przekształcania </w:t>
            </w:r>
            <w:r>
              <w:rPr>
                <w:bCs/>
                <w:sz w:val="22"/>
                <w:szCs w:val="22"/>
              </w:rPr>
              <w:t>tezy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uzasadnia niewymierność liczby, stosując dowód nie wprost w prostych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proste dowody dotyczące własności figur płaskich</w:t>
            </w:r>
          </w:p>
        </w:tc>
      </w:tr>
    </w:tbl>
    <w:p w:rsidR="00D25C4E" w:rsidRDefault="00D25C4E">
      <w:pPr>
        <w:pStyle w:val="Standard"/>
        <w:tabs>
          <w:tab w:val="left" w:pos="3855"/>
        </w:tabs>
        <w:jc w:val="both"/>
        <w:rPr>
          <w:rFonts w:hint="eastAsia"/>
          <w:sz w:val="22"/>
          <w:szCs w:val="22"/>
        </w:rPr>
      </w:pPr>
    </w:p>
    <w:p w:rsidR="00D25C4E" w:rsidRDefault="00D25C4E">
      <w:pPr>
        <w:pStyle w:val="Standard"/>
        <w:tabs>
          <w:tab w:val="left" w:pos="3855"/>
        </w:tabs>
        <w:jc w:val="both"/>
        <w:rPr>
          <w:rFonts w:hint="eastAsia"/>
          <w:sz w:val="22"/>
          <w:szCs w:val="22"/>
        </w:rPr>
      </w:pPr>
    </w:p>
    <w:p w:rsidR="00D25C4E" w:rsidRDefault="00D039EA">
      <w:pPr>
        <w:pStyle w:val="Standard"/>
        <w:tabs>
          <w:tab w:val="left" w:pos="3855"/>
        </w:tabs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  <w:r>
        <w:rPr>
          <w:b/>
          <w:bCs/>
          <w:sz w:val="22"/>
          <w:szCs w:val="22"/>
        </w:rPr>
        <w:tab/>
      </w: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 xml:space="preserve">, jeśli opanował poziomy (K) i (P) oraz </w:t>
      </w:r>
      <w:r>
        <w:rPr>
          <w:sz w:val="22"/>
          <w:szCs w:val="22"/>
        </w:rPr>
        <w:t>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trudniejsze dowody dotyczące własności liczb całkowitych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przeprowadza trudniejsze dowody dotyczące nierówności (np. wykorzystując zależność między średnią arytmetyczną a średnią geometryczną)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stosuje metodę równoważnego </w:t>
            </w:r>
            <w:r>
              <w:rPr>
                <w:bCs/>
                <w:sz w:val="22"/>
                <w:szCs w:val="22"/>
              </w:rPr>
              <w:t>przekształcania tezy – w trudnych sytuacjach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trudniejsze dowody dotyczące własności figur płaskich</w:t>
            </w:r>
          </w:p>
        </w:tc>
      </w:tr>
      <w:tr w:rsidR="00D25C4E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dowody nie wprost – w trudnych sytuacjach</w:t>
            </w:r>
          </w:p>
        </w:tc>
      </w:tr>
    </w:tbl>
    <w:p w:rsidR="00D25C4E" w:rsidRDefault="00D25C4E">
      <w:pPr>
        <w:pStyle w:val="Standard"/>
        <w:jc w:val="both"/>
        <w:rPr>
          <w:rFonts w:hint="eastAsia"/>
          <w:sz w:val="22"/>
          <w:szCs w:val="22"/>
        </w:rPr>
      </w:pPr>
    </w:p>
    <w:p w:rsidR="00D25C4E" w:rsidRDefault="00D039EA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D25C4E" w:rsidRDefault="00D039EA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od (K) do 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25C4E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25C4E" w:rsidRDefault="00D039EA">
            <w:pPr>
              <w:pStyle w:val="Standard"/>
              <w:numPr>
                <w:ilvl w:val="0"/>
                <w:numId w:val="4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przeprowadza dowody wymagające wiedzy opisanej na poziomie (W) z innych działów</w:t>
            </w:r>
          </w:p>
        </w:tc>
      </w:tr>
    </w:tbl>
    <w:p w:rsidR="00D25C4E" w:rsidRDefault="00D25C4E">
      <w:pPr>
        <w:pStyle w:val="Nagwek1"/>
        <w:rPr>
          <w:rFonts w:hint="eastAsia"/>
          <w:sz w:val="22"/>
          <w:szCs w:val="22"/>
        </w:rPr>
      </w:pPr>
    </w:p>
    <w:p w:rsidR="00D25C4E" w:rsidRDefault="00D25C4E">
      <w:pPr>
        <w:pStyle w:val="Nagwek1"/>
        <w:rPr>
          <w:rFonts w:hint="eastAsia"/>
          <w:sz w:val="22"/>
          <w:szCs w:val="22"/>
        </w:rPr>
      </w:pPr>
    </w:p>
    <w:p w:rsidR="00D25C4E" w:rsidRDefault="00D039EA">
      <w:pPr>
        <w:pStyle w:val="Nagwek1"/>
        <w:rPr>
          <w:rFonts w:hint="eastAsia"/>
        </w:rPr>
      </w:pPr>
      <w:r>
        <w:rPr>
          <w:sz w:val="22"/>
          <w:szCs w:val="22"/>
        </w:rPr>
        <w:t>21. POWTÓRZENIE</w:t>
      </w:r>
    </w:p>
    <w:p w:rsidR="00D25C4E" w:rsidRDefault="00D039EA">
      <w:pPr>
        <w:pStyle w:val="Standard"/>
        <w:rPr>
          <w:rFonts w:hint="eastAsia"/>
        </w:rPr>
      </w:pPr>
      <w:r>
        <w:rPr>
          <w:sz w:val="22"/>
          <w:szCs w:val="22"/>
        </w:rPr>
        <w:t>Wymagania dotyczące powtarzanych wiadomości zostały</w:t>
      </w:r>
      <w:r>
        <w:rPr>
          <w:sz w:val="22"/>
          <w:szCs w:val="22"/>
        </w:rPr>
        <w:t xml:space="preserve"> opisane w propozycjach przedmiotowego systemu oceniania dla klas I-IV. Z kolei te z zakresu rachunku prawdopodobieństwa i stereometrii </w:t>
      </w:r>
      <w:r>
        <w:rPr>
          <w:bCs/>
          <w:sz w:val="22"/>
          <w:szCs w:val="22"/>
        </w:rPr>
        <w:t>są opisane powyżej.</w:t>
      </w:r>
    </w:p>
    <w:p w:rsidR="00D25C4E" w:rsidRDefault="00D25C4E">
      <w:pPr>
        <w:pStyle w:val="Standard"/>
        <w:rPr>
          <w:rFonts w:hint="eastAsia"/>
          <w:bCs/>
          <w:sz w:val="22"/>
          <w:szCs w:val="22"/>
        </w:rPr>
      </w:pPr>
    </w:p>
    <w:p w:rsidR="00D25C4E" w:rsidRDefault="00D25C4E">
      <w:pPr>
        <w:pStyle w:val="Textbody"/>
        <w:spacing w:line="120" w:lineRule="atLeast"/>
        <w:jc w:val="both"/>
        <w:rPr>
          <w:rFonts w:hint="eastAsia"/>
          <w:color w:val="000000"/>
          <w:sz w:val="22"/>
          <w:szCs w:val="22"/>
        </w:rPr>
      </w:pPr>
    </w:p>
    <w:p w:rsidR="00D25C4E" w:rsidRDefault="00D25C4E">
      <w:pPr>
        <w:pStyle w:val="Textbody"/>
        <w:rPr>
          <w:rFonts w:hint="eastAsia"/>
          <w:color w:val="000000"/>
          <w:sz w:val="22"/>
          <w:szCs w:val="22"/>
        </w:rPr>
      </w:pPr>
    </w:p>
    <w:p w:rsidR="00D25C4E" w:rsidRDefault="00D25C4E">
      <w:pPr>
        <w:pStyle w:val="Standard"/>
        <w:spacing w:line="120" w:lineRule="atLeast"/>
        <w:jc w:val="both"/>
        <w:rPr>
          <w:rFonts w:hint="eastAsia"/>
          <w:sz w:val="22"/>
          <w:szCs w:val="22"/>
        </w:rPr>
      </w:pPr>
    </w:p>
    <w:sectPr w:rsidR="00D25C4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39E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039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39E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039E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3B2"/>
    <w:multiLevelType w:val="multilevel"/>
    <w:tmpl w:val="217C186E"/>
    <w:styleLink w:val="WWNum4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41400"/>
    <w:multiLevelType w:val="multilevel"/>
    <w:tmpl w:val="094E65BE"/>
    <w:styleLink w:val="WWNum3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200FB7"/>
    <w:multiLevelType w:val="multilevel"/>
    <w:tmpl w:val="237C98F2"/>
    <w:styleLink w:val="WWNum2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" w15:restartNumberingAfterBreak="0">
    <w:nsid w:val="03CA0D88"/>
    <w:multiLevelType w:val="multilevel"/>
    <w:tmpl w:val="80022D9E"/>
    <w:styleLink w:val="WWNum8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3F20520"/>
    <w:multiLevelType w:val="multilevel"/>
    <w:tmpl w:val="BA62FB0A"/>
    <w:styleLink w:val="WWNum2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" w15:restartNumberingAfterBreak="0">
    <w:nsid w:val="06286595"/>
    <w:multiLevelType w:val="multilevel"/>
    <w:tmpl w:val="B0F2EB5C"/>
    <w:styleLink w:val="WWNum3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8013BCA"/>
    <w:multiLevelType w:val="multilevel"/>
    <w:tmpl w:val="E06C3320"/>
    <w:styleLink w:val="WWNum4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BD356FB"/>
    <w:multiLevelType w:val="multilevel"/>
    <w:tmpl w:val="5ECC42B2"/>
    <w:styleLink w:val="WWNum1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8" w15:restartNumberingAfterBreak="0">
    <w:nsid w:val="0FC819BD"/>
    <w:multiLevelType w:val="multilevel"/>
    <w:tmpl w:val="5D9A35F4"/>
    <w:styleLink w:val="WWNum2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9" w15:restartNumberingAfterBreak="0">
    <w:nsid w:val="13A429A0"/>
    <w:multiLevelType w:val="multilevel"/>
    <w:tmpl w:val="44FA9E9A"/>
    <w:styleLink w:val="WWNum2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0" w15:restartNumberingAfterBreak="0">
    <w:nsid w:val="14246286"/>
    <w:multiLevelType w:val="multilevel"/>
    <w:tmpl w:val="F7AAB8A8"/>
    <w:styleLink w:val="WWNum5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7C21F64"/>
    <w:multiLevelType w:val="multilevel"/>
    <w:tmpl w:val="CB285240"/>
    <w:styleLink w:val="WWNum3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2" w15:restartNumberingAfterBreak="0">
    <w:nsid w:val="18D97589"/>
    <w:multiLevelType w:val="multilevel"/>
    <w:tmpl w:val="956489C4"/>
    <w:styleLink w:val="WWNum3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9CF4427"/>
    <w:multiLevelType w:val="multilevel"/>
    <w:tmpl w:val="A044018A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2D27DC0"/>
    <w:multiLevelType w:val="multilevel"/>
    <w:tmpl w:val="003C64D2"/>
    <w:styleLink w:val="WWNum1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2F54F6A"/>
    <w:multiLevelType w:val="multilevel"/>
    <w:tmpl w:val="DD582A7A"/>
    <w:styleLink w:val="WWNum2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6" w15:restartNumberingAfterBreak="0">
    <w:nsid w:val="24DE18DE"/>
    <w:multiLevelType w:val="multilevel"/>
    <w:tmpl w:val="52E21560"/>
    <w:styleLink w:val="WWNum3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79366AD"/>
    <w:multiLevelType w:val="multilevel"/>
    <w:tmpl w:val="8474E1E8"/>
    <w:styleLink w:val="WWNum4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9624783"/>
    <w:multiLevelType w:val="multilevel"/>
    <w:tmpl w:val="69DC9B94"/>
    <w:styleLink w:val="WWNum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9C17A14"/>
    <w:multiLevelType w:val="multilevel"/>
    <w:tmpl w:val="32C06FE6"/>
    <w:styleLink w:val="WWNum1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0" w15:restartNumberingAfterBreak="0">
    <w:nsid w:val="2A315174"/>
    <w:multiLevelType w:val="multilevel"/>
    <w:tmpl w:val="445288D0"/>
    <w:styleLink w:val="WWNum1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1" w15:restartNumberingAfterBreak="0">
    <w:nsid w:val="2D6951B5"/>
    <w:multiLevelType w:val="multilevel"/>
    <w:tmpl w:val="B3568E16"/>
    <w:styleLink w:val="WWNum3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2" w15:restartNumberingAfterBreak="0">
    <w:nsid w:val="338C4707"/>
    <w:multiLevelType w:val="multilevel"/>
    <w:tmpl w:val="32B254B4"/>
    <w:styleLink w:val="WWNum2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3" w15:restartNumberingAfterBreak="0">
    <w:nsid w:val="33F50829"/>
    <w:multiLevelType w:val="multilevel"/>
    <w:tmpl w:val="5D18B786"/>
    <w:styleLink w:val="WWNum4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718556F"/>
    <w:multiLevelType w:val="multilevel"/>
    <w:tmpl w:val="74D45E62"/>
    <w:styleLink w:val="WWNum3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5" w15:restartNumberingAfterBreak="0">
    <w:nsid w:val="3DBE6881"/>
    <w:multiLevelType w:val="multilevel"/>
    <w:tmpl w:val="EA58C742"/>
    <w:styleLink w:val="WWNum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E714659"/>
    <w:multiLevelType w:val="multilevel"/>
    <w:tmpl w:val="26D875B8"/>
    <w:styleLink w:val="WWNum3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7" w15:restartNumberingAfterBreak="0">
    <w:nsid w:val="432F1BCD"/>
    <w:multiLevelType w:val="multilevel"/>
    <w:tmpl w:val="A0DEF558"/>
    <w:styleLink w:val="WWNum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8" w15:restartNumberingAfterBreak="0">
    <w:nsid w:val="43362CF5"/>
    <w:multiLevelType w:val="multilevel"/>
    <w:tmpl w:val="C15C76E4"/>
    <w:styleLink w:val="WWNum4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34F7D45"/>
    <w:multiLevelType w:val="multilevel"/>
    <w:tmpl w:val="2634DF40"/>
    <w:styleLink w:val="WWNum1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0" w15:restartNumberingAfterBreak="0">
    <w:nsid w:val="43CD4973"/>
    <w:multiLevelType w:val="multilevel"/>
    <w:tmpl w:val="EBC23654"/>
    <w:styleLink w:val="WWNum56"/>
    <w:lvl w:ilvl="0">
      <w:numFmt w:val="bullet"/>
      <w:lvlText w:val=""/>
      <w:lvlJc w:val="left"/>
      <w:pPr>
        <w:ind w:left="502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79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31" w15:restartNumberingAfterBreak="0">
    <w:nsid w:val="459D6E0A"/>
    <w:multiLevelType w:val="multilevel"/>
    <w:tmpl w:val="994EE404"/>
    <w:styleLink w:val="WWNum2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2" w15:restartNumberingAfterBreak="0">
    <w:nsid w:val="46B854D8"/>
    <w:multiLevelType w:val="multilevel"/>
    <w:tmpl w:val="404624F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3" w15:restartNumberingAfterBreak="0">
    <w:nsid w:val="488849AB"/>
    <w:multiLevelType w:val="multilevel"/>
    <w:tmpl w:val="B69E6AD6"/>
    <w:styleLink w:val="WWNum4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9FE67E3"/>
    <w:multiLevelType w:val="multilevel"/>
    <w:tmpl w:val="6DFCD05A"/>
    <w:styleLink w:val="WWNum5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B1C2FC5"/>
    <w:multiLevelType w:val="multilevel"/>
    <w:tmpl w:val="AE903FC6"/>
    <w:styleLink w:val="WWNum6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18636F4"/>
    <w:multiLevelType w:val="multilevel"/>
    <w:tmpl w:val="C9263D36"/>
    <w:styleLink w:val="WWNum5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7C13F2C"/>
    <w:multiLevelType w:val="multilevel"/>
    <w:tmpl w:val="88BCF398"/>
    <w:styleLink w:val="WWNum5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A5A71D3"/>
    <w:multiLevelType w:val="multilevel"/>
    <w:tmpl w:val="1100A1AA"/>
    <w:styleLink w:val="WWNum4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5B3C5D5B"/>
    <w:multiLevelType w:val="multilevel"/>
    <w:tmpl w:val="8296326A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CDF10AD"/>
    <w:multiLevelType w:val="multilevel"/>
    <w:tmpl w:val="BB6A65AC"/>
    <w:styleLink w:val="WWNum53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5E746075"/>
    <w:multiLevelType w:val="multilevel"/>
    <w:tmpl w:val="62BEAC28"/>
    <w:styleLink w:val="WWNum3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F946CD3"/>
    <w:multiLevelType w:val="multilevel"/>
    <w:tmpl w:val="31C6F1BA"/>
    <w:styleLink w:val="WWNum4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0FE3B40"/>
    <w:multiLevelType w:val="multilevel"/>
    <w:tmpl w:val="8B7EC5CA"/>
    <w:styleLink w:val="WWNum3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4" w15:restartNumberingAfterBreak="0">
    <w:nsid w:val="618D234D"/>
    <w:multiLevelType w:val="multilevel"/>
    <w:tmpl w:val="19D8CF4C"/>
    <w:styleLink w:val="WWNum3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3AD2217"/>
    <w:multiLevelType w:val="multilevel"/>
    <w:tmpl w:val="F16AEFD6"/>
    <w:styleLink w:val="WWNum4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9E41ABD"/>
    <w:multiLevelType w:val="multilevel"/>
    <w:tmpl w:val="DA3A9EAA"/>
    <w:styleLink w:val="WWNum1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7" w15:restartNumberingAfterBreak="0">
    <w:nsid w:val="69FD4B9E"/>
    <w:multiLevelType w:val="multilevel"/>
    <w:tmpl w:val="3D96EDAE"/>
    <w:styleLink w:val="WWNum1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8" w15:restartNumberingAfterBreak="0">
    <w:nsid w:val="6F067788"/>
    <w:multiLevelType w:val="multilevel"/>
    <w:tmpl w:val="DEFE6126"/>
    <w:styleLink w:val="WWNum1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9" w15:restartNumberingAfterBreak="0">
    <w:nsid w:val="6FF30AA1"/>
    <w:multiLevelType w:val="multilevel"/>
    <w:tmpl w:val="00447D08"/>
    <w:styleLink w:val="WWNum7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74844EFC"/>
    <w:multiLevelType w:val="multilevel"/>
    <w:tmpl w:val="A0B49846"/>
    <w:styleLink w:val="WWNum2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1" w15:restartNumberingAfterBreak="0">
    <w:nsid w:val="77473FA0"/>
    <w:multiLevelType w:val="multilevel"/>
    <w:tmpl w:val="42B8029C"/>
    <w:styleLink w:val="WWNum2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2" w15:restartNumberingAfterBreak="0">
    <w:nsid w:val="78AD58CF"/>
    <w:multiLevelType w:val="multilevel"/>
    <w:tmpl w:val="6C9871BE"/>
    <w:styleLink w:val="WWNum2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3" w15:restartNumberingAfterBreak="0">
    <w:nsid w:val="7CA50991"/>
    <w:multiLevelType w:val="multilevel"/>
    <w:tmpl w:val="73169AAA"/>
    <w:styleLink w:val="WWNum1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4" w15:restartNumberingAfterBreak="0">
    <w:nsid w:val="7CBF119B"/>
    <w:multiLevelType w:val="multilevel"/>
    <w:tmpl w:val="51688098"/>
    <w:styleLink w:val="WWNum1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5" w15:restartNumberingAfterBreak="0">
    <w:nsid w:val="7E677F8F"/>
    <w:multiLevelType w:val="multilevel"/>
    <w:tmpl w:val="E37A837E"/>
    <w:styleLink w:val="WWNum1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6" w15:restartNumberingAfterBreak="0">
    <w:nsid w:val="7F4B3D64"/>
    <w:multiLevelType w:val="multilevel"/>
    <w:tmpl w:val="C816AA08"/>
    <w:styleLink w:val="WWNum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7FB62BFE"/>
    <w:multiLevelType w:val="multilevel"/>
    <w:tmpl w:val="D9507EC8"/>
    <w:styleLink w:val="WWNum5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14"/>
  </w:num>
  <w:num w:numId="3">
    <w:abstractNumId w:val="18"/>
  </w:num>
  <w:num w:numId="4">
    <w:abstractNumId w:val="5"/>
  </w:num>
  <w:num w:numId="5">
    <w:abstractNumId w:val="42"/>
  </w:num>
  <w:num w:numId="6">
    <w:abstractNumId w:val="56"/>
  </w:num>
  <w:num w:numId="7">
    <w:abstractNumId w:val="35"/>
  </w:num>
  <w:num w:numId="8">
    <w:abstractNumId w:val="49"/>
  </w:num>
  <w:num w:numId="9">
    <w:abstractNumId w:val="3"/>
  </w:num>
  <w:num w:numId="10">
    <w:abstractNumId w:val="27"/>
  </w:num>
  <w:num w:numId="11">
    <w:abstractNumId w:val="55"/>
  </w:num>
  <w:num w:numId="12">
    <w:abstractNumId w:val="54"/>
  </w:num>
  <w:num w:numId="13">
    <w:abstractNumId w:val="47"/>
  </w:num>
  <w:num w:numId="14">
    <w:abstractNumId w:val="48"/>
  </w:num>
  <w:num w:numId="15">
    <w:abstractNumId w:val="19"/>
  </w:num>
  <w:num w:numId="16">
    <w:abstractNumId w:val="20"/>
  </w:num>
  <w:num w:numId="17">
    <w:abstractNumId w:val="7"/>
  </w:num>
  <w:num w:numId="18">
    <w:abstractNumId w:val="53"/>
  </w:num>
  <w:num w:numId="19">
    <w:abstractNumId w:val="46"/>
  </w:num>
  <w:num w:numId="20">
    <w:abstractNumId w:val="29"/>
  </w:num>
  <w:num w:numId="21">
    <w:abstractNumId w:val="15"/>
  </w:num>
  <w:num w:numId="22">
    <w:abstractNumId w:val="2"/>
  </w:num>
  <w:num w:numId="23">
    <w:abstractNumId w:val="52"/>
  </w:num>
  <w:num w:numId="24">
    <w:abstractNumId w:val="4"/>
  </w:num>
  <w:num w:numId="25">
    <w:abstractNumId w:val="22"/>
  </w:num>
  <w:num w:numId="26">
    <w:abstractNumId w:val="51"/>
  </w:num>
  <w:num w:numId="27">
    <w:abstractNumId w:val="31"/>
  </w:num>
  <w:num w:numId="28">
    <w:abstractNumId w:val="50"/>
  </w:num>
  <w:num w:numId="29">
    <w:abstractNumId w:val="9"/>
  </w:num>
  <w:num w:numId="30">
    <w:abstractNumId w:val="8"/>
  </w:num>
  <w:num w:numId="31">
    <w:abstractNumId w:val="11"/>
  </w:num>
  <w:num w:numId="32">
    <w:abstractNumId w:val="43"/>
  </w:num>
  <w:num w:numId="33">
    <w:abstractNumId w:val="21"/>
  </w:num>
  <w:num w:numId="34">
    <w:abstractNumId w:val="26"/>
  </w:num>
  <w:num w:numId="35">
    <w:abstractNumId w:val="24"/>
  </w:num>
  <w:num w:numId="36">
    <w:abstractNumId w:val="12"/>
  </w:num>
  <w:num w:numId="37">
    <w:abstractNumId w:val="41"/>
  </w:num>
  <w:num w:numId="38">
    <w:abstractNumId w:val="1"/>
  </w:num>
  <w:num w:numId="39">
    <w:abstractNumId w:val="44"/>
  </w:num>
  <w:num w:numId="40">
    <w:abstractNumId w:val="16"/>
  </w:num>
  <w:num w:numId="41">
    <w:abstractNumId w:val="17"/>
  </w:num>
  <w:num w:numId="42">
    <w:abstractNumId w:val="0"/>
  </w:num>
  <w:num w:numId="43">
    <w:abstractNumId w:val="33"/>
  </w:num>
  <w:num w:numId="44">
    <w:abstractNumId w:val="13"/>
  </w:num>
  <w:num w:numId="45">
    <w:abstractNumId w:val="28"/>
  </w:num>
  <w:num w:numId="46">
    <w:abstractNumId w:val="23"/>
  </w:num>
  <w:num w:numId="47">
    <w:abstractNumId w:val="6"/>
  </w:num>
  <w:num w:numId="48">
    <w:abstractNumId w:val="45"/>
  </w:num>
  <w:num w:numId="49">
    <w:abstractNumId w:val="25"/>
  </w:num>
  <w:num w:numId="50">
    <w:abstractNumId w:val="38"/>
  </w:num>
  <w:num w:numId="51">
    <w:abstractNumId w:val="36"/>
  </w:num>
  <w:num w:numId="52">
    <w:abstractNumId w:val="34"/>
  </w:num>
  <w:num w:numId="53">
    <w:abstractNumId w:val="37"/>
  </w:num>
  <w:num w:numId="54">
    <w:abstractNumId w:val="40"/>
  </w:num>
  <w:num w:numId="55">
    <w:abstractNumId w:val="57"/>
  </w:num>
  <w:num w:numId="56">
    <w:abstractNumId w:val="10"/>
  </w:num>
  <w:num w:numId="57">
    <w:abstractNumId w:val="30"/>
  </w:num>
  <w:num w:numId="58">
    <w:abstractNumId w:val="39"/>
  </w:num>
  <w:num w:numId="59">
    <w:abstractNumId w:val="48"/>
    <w:lvlOverride w:ilvl="0"/>
  </w:num>
  <w:num w:numId="60">
    <w:abstractNumId w:val="14"/>
    <w:lvlOverride w:ilvl="0"/>
  </w:num>
  <w:num w:numId="61">
    <w:abstractNumId w:val="18"/>
    <w:lvlOverride w:ilvl="0"/>
  </w:num>
  <w:num w:numId="62">
    <w:abstractNumId w:val="42"/>
    <w:lvlOverride w:ilvl="0"/>
  </w:num>
  <w:num w:numId="63">
    <w:abstractNumId w:val="5"/>
    <w:lvlOverride w:ilvl="0"/>
  </w:num>
  <w:num w:numId="64">
    <w:abstractNumId w:val="35"/>
    <w:lvlOverride w:ilv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25C4E"/>
    <w:rsid w:val="00D039EA"/>
    <w:rsid w:val="00D2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0B87-17F8-4BDF-B2E9-3B8DBAE6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Standard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Standar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Nagwek5">
    <w:name w:val="heading 5"/>
    <w:basedOn w:val="Standard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opkaCopyright">
    <w:name w:val="Stopka Copyright"/>
    <w:basedOn w:val="Standard"/>
    <w:pPr>
      <w:jc w:val="both"/>
    </w:pPr>
    <w:rPr>
      <w:rFonts w:ascii="Roboto" w:eastAsia="Calibri" w:hAnsi="Roboto" w:cs="Roboto"/>
      <w:iCs/>
      <w:color w:val="000000"/>
      <w:sz w:val="16"/>
      <w:szCs w:val="18"/>
      <w:lang w:eastAsia="en-US"/>
    </w:rPr>
  </w:style>
  <w:style w:type="paragraph" w:customStyle="1" w:styleId="StronaTytuowaCopyright">
    <w:name w:val="Strona Tytułowa Copyright"/>
    <w:basedOn w:val="Standard"/>
    <w:pPr>
      <w:spacing w:line="276" w:lineRule="auto"/>
      <w:jc w:val="center"/>
    </w:pPr>
    <w:rPr>
      <w:rFonts w:ascii="Roboto Light" w:eastAsia="Calibri" w:hAnsi="Roboto Light" w:cs="Roboto Light"/>
      <w:iCs/>
      <w:color w:val="000000"/>
      <w:sz w:val="20"/>
      <w:szCs w:val="20"/>
      <w:lang w:eastAsia="en-US"/>
    </w:rPr>
  </w:style>
  <w:style w:type="paragraph" w:customStyle="1" w:styleId="StronaTytuowaTytu">
    <w:name w:val="Strona Tytułowa Tytuł"/>
    <w:pPr>
      <w:jc w:val="center"/>
    </w:pPr>
    <w:rPr>
      <w:rFonts w:ascii="Roboto" w:eastAsia="Calibri" w:hAnsi="Roboto" w:cs="Roboto"/>
      <w:sz w:val="64"/>
      <w:lang w:eastAsia="en-US"/>
    </w:rPr>
  </w:style>
  <w:style w:type="paragraph" w:customStyle="1" w:styleId="StronaTytuowaAutorzy">
    <w:name w:val="Strona Tytułowa Autorzy"/>
    <w:pPr>
      <w:jc w:val="center"/>
    </w:pPr>
    <w:rPr>
      <w:rFonts w:ascii="Roboto Light" w:eastAsia="Calibri" w:hAnsi="Roboto Light" w:cs="Roboto Light"/>
      <w:color w:val="000000"/>
      <w:sz w:val="32"/>
      <w:szCs w:val="32"/>
      <w:lang w:eastAsia="en-US"/>
    </w:rPr>
  </w:style>
  <w:style w:type="paragraph" w:customStyle="1" w:styleId="PodtytulArial14">
    <w:name w:val="Podtytul Arial 14"/>
    <w:basedOn w:val="TytulArial20"/>
    <w:pPr>
      <w:spacing w:before="0"/>
    </w:pPr>
    <w:rPr>
      <w:sz w:val="28"/>
      <w:szCs w:val="28"/>
    </w:rPr>
  </w:style>
  <w:style w:type="paragraph" w:customStyle="1" w:styleId="TytulArial20">
    <w:name w:val="Tytul Arial 20"/>
    <w:basedOn w:val="Nagwek2"/>
    <w:pPr>
      <w:spacing w:line="276" w:lineRule="auto"/>
    </w:pPr>
    <w:rPr>
      <w:rFonts w:ascii="Arial" w:eastAsia="Arial" w:hAnsi="Arial" w:cs="Arial"/>
      <w:color w:val="92D050"/>
      <w:sz w:val="40"/>
      <w:szCs w:val="40"/>
      <w:lang w:eastAsia="en-US"/>
    </w:rPr>
  </w:style>
  <w:style w:type="paragraph" w:styleId="Poprawka">
    <w:name w:val="Revision"/>
  </w:style>
  <w:style w:type="paragraph" w:styleId="Tematkomentarza">
    <w:name w:val="annotation subject"/>
    <w:basedOn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Podtytu">
    <w:name w:val="Subtitle"/>
    <w:basedOn w:val="Standard"/>
    <w:rPr>
      <w:rFonts w:ascii="Cambria" w:eastAsia="Cambria" w:hAnsi="Cambria" w:cs="Cambria"/>
      <w:i/>
      <w:iCs/>
      <w:color w:val="4F81BD"/>
      <w:spacing w:val="15"/>
    </w:rPr>
  </w:style>
  <w:style w:type="paragraph" w:styleId="Listapunktowana2">
    <w:name w:val="List Bullet 2"/>
    <w:basedOn w:val="Standard"/>
    <w:pPr>
      <w:tabs>
        <w:tab w:val="left" w:pos="1286"/>
        <w:tab w:val="left" w:pos="1363"/>
      </w:tabs>
      <w:ind w:left="643" w:hanging="360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ascii="Arial" w:eastAsia="Arial" w:hAnsi="Arial"/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ytu">
    <w:name w:val="Title"/>
    <w:basedOn w:val="Standard"/>
    <w:pPr>
      <w:jc w:val="center"/>
    </w:pPr>
    <w:rPr>
      <w:szCs w:val="20"/>
    </w:rPr>
  </w:style>
  <w:style w:type="paragraph" w:customStyle="1" w:styleId="Kolorowalistaakcent11">
    <w:name w:val="Kolorowa lista — akcent 11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color w:val="00000A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PodtytulArial14Znak">
    <w:name w:val="Podtytul Arial 14 Znak"/>
    <w:basedOn w:val="TytulArial20Znak"/>
    <w:rPr>
      <w:rFonts w:ascii="Arial" w:eastAsia="Arial" w:hAnsi="Arial" w:cs="Arial"/>
      <w:b/>
      <w:bCs/>
      <w:color w:val="92D050"/>
      <w:sz w:val="28"/>
      <w:szCs w:val="28"/>
      <w:lang w:eastAsia="en-US"/>
    </w:rPr>
  </w:style>
  <w:style w:type="character" w:customStyle="1" w:styleId="TytulArial20Znak">
    <w:name w:val="Tytul Arial 20 Znak"/>
    <w:basedOn w:val="Nagwek2Znak"/>
    <w:rPr>
      <w:rFonts w:ascii="Arial" w:eastAsia="Arial" w:hAnsi="Arial" w:cs="Arial"/>
      <w:b/>
      <w:bCs/>
      <w:color w:val="92D050"/>
      <w:sz w:val="40"/>
      <w:szCs w:val="40"/>
      <w:lang w:eastAsia="en-US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</w:rPr>
  </w:style>
  <w:style w:type="character" w:customStyle="1" w:styleId="TekstkomentarzaZnak">
    <w:name w:val="Tekst komentarza Znak"/>
    <w:basedOn w:val="Domylnaczcionkaakapitu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PodtytuZnak">
    <w:name w:val="Podtytuł Znak"/>
    <w:basedOn w:val="Domylnaczcionkaakapitu"/>
    <w:rPr>
      <w:rFonts w:ascii="Cambria" w:eastAsia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rPr>
      <w:rFonts w:cs="Times New Roman"/>
      <w:sz w:val="24"/>
      <w:szCs w:val="24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TekstpodstawowyZnak">
    <w:name w:val="Tekst podstawowy Znak"/>
    <w:basedOn w:val="Domylnaczcionkaakapitu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  <w:szCs w:val="24"/>
    </w:rPr>
  </w:style>
  <w:style w:type="character" w:customStyle="1" w:styleId="NagwekZnak">
    <w:name w:val="Nagłówek Znak"/>
    <w:basedOn w:val="Domylnaczcionkaakapitu"/>
    <w:rPr>
      <w:rFonts w:cs="Times New Roman"/>
    </w:rPr>
  </w:style>
  <w:style w:type="character" w:customStyle="1" w:styleId="TytuZnak">
    <w:name w:val="Tytuł Znak"/>
    <w:basedOn w:val="Domylnaczcionkaakapitu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Nagwek6Znak">
    <w:name w:val="Nagłówek 6 Znak"/>
    <w:basedOn w:val="Domylnaczcionkaakapitu"/>
    <w:rPr>
      <w:rFonts w:ascii="Calibri" w:eastAsia="Calibri" w:hAnsi="Calibri" w:cs="Times New Roman"/>
      <w:b/>
      <w:bCs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rPr>
      <w:rFonts w:ascii="Cambria" w:eastAsia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3Znak">
    <w:name w:val="Nagłówek 3 Znak"/>
    <w:basedOn w:val="Domylnaczcionkaakapitu"/>
    <w:rPr>
      <w:rFonts w:ascii="Cambria" w:eastAsia="Cambria" w:hAnsi="Cambria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rPr>
      <w:rFonts w:ascii="Cambria" w:eastAsia="Cambria" w:hAnsi="Cambria" w:cs="Times New Roman"/>
      <w:b/>
      <w:bCs/>
      <w:color w:val="4F81BD"/>
      <w:sz w:val="26"/>
      <w:szCs w:val="26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numbering" w:customStyle="1" w:styleId="WWNum49">
    <w:name w:val="WWNum49"/>
    <w:basedOn w:val="Bezlisty"/>
    <w:pPr>
      <w:numPr>
        <w:numId w:val="50"/>
      </w:numPr>
    </w:pPr>
  </w:style>
  <w:style w:type="numbering" w:customStyle="1" w:styleId="WWNum50">
    <w:name w:val="WWNum50"/>
    <w:basedOn w:val="Bezlisty"/>
    <w:pPr>
      <w:numPr>
        <w:numId w:val="51"/>
      </w:numPr>
    </w:pPr>
  </w:style>
  <w:style w:type="numbering" w:customStyle="1" w:styleId="WWNum51">
    <w:name w:val="WWNum51"/>
    <w:basedOn w:val="Bezlisty"/>
    <w:pPr>
      <w:numPr>
        <w:numId w:val="52"/>
      </w:numPr>
    </w:pPr>
  </w:style>
  <w:style w:type="numbering" w:customStyle="1" w:styleId="WWNum52">
    <w:name w:val="WWNum52"/>
    <w:basedOn w:val="Bezlisty"/>
    <w:pPr>
      <w:numPr>
        <w:numId w:val="53"/>
      </w:numPr>
    </w:pPr>
  </w:style>
  <w:style w:type="numbering" w:customStyle="1" w:styleId="WWNum53">
    <w:name w:val="WWNum53"/>
    <w:basedOn w:val="Bezlisty"/>
    <w:pPr>
      <w:numPr>
        <w:numId w:val="54"/>
      </w:numPr>
    </w:pPr>
  </w:style>
  <w:style w:type="numbering" w:customStyle="1" w:styleId="WWNum54">
    <w:name w:val="WWNum54"/>
    <w:basedOn w:val="Bezlisty"/>
    <w:pPr>
      <w:numPr>
        <w:numId w:val="55"/>
      </w:numPr>
    </w:pPr>
  </w:style>
  <w:style w:type="numbering" w:customStyle="1" w:styleId="WWNum55">
    <w:name w:val="WWNum55"/>
    <w:basedOn w:val="Bezlisty"/>
    <w:pPr>
      <w:numPr>
        <w:numId w:val="56"/>
      </w:numPr>
    </w:pPr>
  </w:style>
  <w:style w:type="numbering" w:customStyle="1" w:styleId="WWNum56">
    <w:name w:val="WWNum56"/>
    <w:basedOn w:val="Bezlisty"/>
    <w:pPr>
      <w:numPr>
        <w:numId w:val="57"/>
      </w:numPr>
    </w:pPr>
  </w:style>
  <w:style w:type="numbering" w:customStyle="1" w:styleId="WWNum57">
    <w:name w:val="WWNum57"/>
    <w:basedOn w:val="Bezlisty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2025-08-31T10:23:00Z</dcterms:created>
  <dcterms:modified xsi:type="dcterms:W3CDTF">2025-08-31T10:23:00Z</dcterms:modified>
</cp:coreProperties>
</file>