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C2" w:rsidRDefault="00C478CC">
      <w:pPr>
        <w:pStyle w:val="Standard"/>
        <w:spacing w:line="120" w:lineRule="atLeast"/>
        <w:jc w:val="center"/>
        <w:rPr>
          <w:rFonts w:hint="eastAsia"/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Przedmiotowy</w:t>
      </w:r>
      <w:r>
        <w:rPr>
          <w:sz w:val="40"/>
          <w:szCs w:val="40"/>
        </w:rPr>
        <w:t xml:space="preserve"> systemu oceniania </w:t>
      </w:r>
      <w:r>
        <w:rPr>
          <w:sz w:val="40"/>
          <w:szCs w:val="40"/>
        </w:rPr>
        <w:br/>
      </w:r>
      <w:r>
        <w:rPr>
          <w:sz w:val="40"/>
          <w:szCs w:val="40"/>
        </w:rPr>
        <w:t>wraz z określeniem wymagań edukacyjnych</w:t>
      </w:r>
    </w:p>
    <w:p w:rsidR="003C17C2" w:rsidRDefault="00C478CC">
      <w:pPr>
        <w:pStyle w:val="StronaTytuowaTytu"/>
        <w:spacing w:line="120" w:lineRule="atLeast"/>
      </w:pPr>
      <w:r>
        <w:t>MATeMAtyka</w:t>
      </w:r>
    </w:p>
    <w:p w:rsidR="003C17C2" w:rsidRDefault="00C478CC">
      <w:pPr>
        <w:pStyle w:val="StronaTytuowaTytu"/>
        <w:spacing w:line="120" w:lineRule="atLeast"/>
        <w:rPr>
          <w:sz w:val="44"/>
          <w:szCs w:val="44"/>
        </w:rPr>
      </w:pPr>
      <w:r>
        <w:rPr>
          <w:sz w:val="44"/>
          <w:szCs w:val="44"/>
        </w:rPr>
        <w:t>Zakres podstawowy i rozszerzony</w:t>
      </w: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3C17C2">
      <w:pPr>
        <w:pStyle w:val="Standard"/>
        <w:rPr>
          <w:rFonts w:hint="eastAsia"/>
        </w:rPr>
      </w:pPr>
    </w:p>
    <w:p w:rsidR="003C17C2" w:rsidRDefault="00C478CC">
      <w:pPr>
        <w:pStyle w:val="Textbodyindent"/>
        <w:pageBreakBefore/>
        <w:spacing w:line="120" w:lineRule="atLeast"/>
        <w:ind w:left="0"/>
        <w:jc w:val="both"/>
        <w:rPr>
          <w:rFonts w:hint="eastAsia"/>
        </w:rPr>
      </w:pPr>
      <w:r>
        <w:rPr>
          <w:rFonts w:ascii="Cambria" w:eastAsia="Calibri" w:hAnsi="Cambria"/>
          <w:iCs/>
          <w:sz w:val="22"/>
          <w:szCs w:val="22"/>
          <w:lang w:eastAsia="en-US"/>
        </w:rPr>
        <w:lastRenderedPageBreak/>
        <w:t xml:space="preserve">Wyróżnione zostały następujące wymagania programowe: konieczne (K), podstawowe (P), rozszerzające (R), dopełniające (D) i </w:t>
      </w:r>
      <w:r>
        <w:rPr>
          <w:rFonts w:ascii="Cambria" w:eastAsia="Calibri" w:hAnsi="Cambria"/>
          <w:iCs/>
          <w:sz w:val="22"/>
          <w:szCs w:val="22"/>
          <w:lang w:eastAsia="en-US"/>
        </w:rPr>
        <w:t xml:space="preserve">wykraczające (W). Wymienione poziomy wymagań odpowiadają w przybliżeniu ocenom szkolnym. Nauczyciel, określając te poziomy, powinien zatem sprecyzować, czy opanowania pewnych czynności lub wiedzy będzie wymagał na ocenę dopuszczającą (2), dostateczną (3), </w:t>
      </w:r>
      <w:r>
        <w:rPr>
          <w:rFonts w:ascii="Cambria" w:eastAsia="Calibri" w:hAnsi="Cambria"/>
          <w:iCs/>
          <w:sz w:val="22"/>
          <w:szCs w:val="22"/>
          <w:lang w:eastAsia="en-US"/>
        </w:rPr>
        <w:t>dobrą (4), bardzo dobrą (5) lub celującą (6).</w:t>
      </w:r>
    </w:p>
    <w:p w:rsidR="003C17C2" w:rsidRDefault="003C17C2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3C17C2" w:rsidRDefault="00C478CC">
      <w:pPr>
        <w:pStyle w:val="Standard"/>
        <w:numPr>
          <w:ilvl w:val="0"/>
          <w:numId w:val="59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konieczne (K)</w:t>
      </w:r>
      <w:r>
        <w:rPr>
          <w:rFonts w:ascii="Cambria" w:hAnsi="Cambria"/>
          <w:sz w:val="22"/>
          <w:szCs w:val="22"/>
        </w:rPr>
        <w:t xml:space="preserve"> dotyczą zagadnień elementarnych, stanowiących swego rodzaju podstawę, zatem powinny być opanowane przez każdego ucznia.</w:t>
      </w:r>
    </w:p>
    <w:p w:rsidR="003C17C2" w:rsidRDefault="00C478CC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podstawowe (P)</w:t>
      </w:r>
      <w:r>
        <w:rPr>
          <w:rFonts w:ascii="Cambria" w:hAnsi="Cambria"/>
          <w:sz w:val="22"/>
          <w:szCs w:val="22"/>
        </w:rPr>
        <w:t xml:space="preserve"> zawierają wymagania z poziomu (K) wzboga</w:t>
      </w:r>
      <w:r>
        <w:rPr>
          <w:rFonts w:ascii="Cambria" w:hAnsi="Cambria"/>
          <w:sz w:val="22"/>
          <w:szCs w:val="22"/>
        </w:rPr>
        <w:t xml:space="preserve">cone 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o typowe problemy o niewielkim stopniu trudności.</w:t>
      </w:r>
    </w:p>
    <w:p w:rsidR="003C17C2" w:rsidRDefault="00C478CC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rozszerzające (R)</w:t>
      </w:r>
      <w:r>
        <w:rPr>
          <w:rFonts w:ascii="Cambria" w:hAnsi="Cambria"/>
          <w:sz w:val="22"/>
          <w:szCs w:val="22"/>
        </w:rPr>
        <w:t>, zawierające wymagania z poziomów (K) i (P), dotyczą zagadnień bardziej złożonych i nieco trudniejszych.</w:t>
      </w:r>
    </w:p>
    <w:p w:rsidR="003C17C2" w:rsidRDefault="00C478CC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dopełniające (D)</w:t>
      </w:r>
      <w:r>
        <w:rPr>
          <w:rFonts w:ascii="Cambria" w:hAnsi="Cambria"/>
          <w:sz w:val="22"/>
          <w:szCs w:val="22"/>
        </w:rPr>
        <w:t>, zawierające wymagania z poziomów (K), (</w:t>
      </w:r>
      <w:r>
        <w:rPr>
          <w:rFonts w:ascii="Cambria" w:hAnsi="Cambria"/>
          <w:sz w:val="22"/>
          <w:szCs w:val="22"/>
        </w:rPr>
        <w:t>P) i (R), dotyczą zagadnień problemowych, trudniejszych, wymagających umiejętności przetwarzania przyswojonych informacji.</w:t>
      </w:r>
    </w:p>
    <w:p w:rsidR="003C17C2" w:rsidRDefault="00C478CC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wykraczające (W)</w:t>
      </w:r>
      <w:r>
        <w:rPr>
          <w:rFonts w:ascii="Cambria" w:hAnsi="Cambria"/>
          <w:sz w:val="22"/>
          <w:szCs w:val="22"/>
        </w:rPr>
        <w:t xml:space="preserve"> dotyczą zagadnień trudnych i oryginalnych.</w:t>
      </w:r>
    </w:p>
    <w:p w:rsidR="003C17C2" w:rsidRDefault="003C17C2">
      <w:pPr>
        <w:pStyle w:val="Standard"/>
        <w:spacing w:line="120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3C17C2" w:rsidRDefault="00C478CC">
      <w:pPr>
        <w:pStyle w:val="Standard"/>
        <w:spacing w:after="120" w:line="12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Poniżej przedstawiony został podział wymagań na poszczególne </w:t>
      </w:r>
      <w:r>
        <w:rPr>
          <w:rFonts w:ascii="Cambria" w:hAnsi="Cambria"/>
          <w:sz w:val="22"/>
          <w:szCs w:val="22"/>
        </w:rPr>
        <w:t>oceny szkolne:</w:t>
      </w:r>
    </w:p>
    <w:p w:rsidR="003C17C2" w:rsidRDefault="00C478CC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dopuszczająca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</w:t>
      </w:r>
    </w:p>
    <w:p w:rsidR="003C17C2" w:rsidRDefault="00C478CC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dostateczna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 i (P)</w:t>
      </w:r>
    </w:p>
    <w:p w:rsidR="003C17C2" w:rsidRDefault="00C478CC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dobra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(K), (P) i (R)</w:t>
      </w:r>
    </w:p>
    <w:p w:rsidR="003C17C2" w:rsidRDefault="00C478CC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bardzo dobra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(K), (P), (R) i (D)</w:t>
      </w:r>
    </w:p>
    <w:p w:rsidR="003C17C2" w:rsidRDefault="00C478CC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celująca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</w:t>
      </w:r>
      <w:r>
        <w:rPr>
          <w:rFonts w:ascii="Cambria" w:hAnsi="Cambria"/>
          <w:sz w:val="22"/>
          <w:szCs w:val="22"/>
        </w:rPr>
        <w:t>ania na poziomie (K), (P), (R), (D) i (W)</w:t>
      </w:r>
    </w:p>
    <w:p w:rsidR="003C17C2" w:rsidRDefault="003C17C2">
      <w:pPr>
        <w:pStyle w:val="Standard"/>
        <w:spacing w:line="120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3C17C2" w:rsidRDefault="003C17C2">
      <w:pPr>
        <w:pStyle w:val="Standard"/>
        <w:spacing w:line="120" w:lineRule="atLeast"/>
        <w:ind w:firstLine="360"/>
        <w:jc w:val="both"/>
        <w:rPr>
          <w:rFonts w:ascii="Cambria" w:hAnsi="Cambria"/>
          <w:b/>
          <w:bCs/>
          <w:sz w:val="22"/>
          <w:szCs w:val="22"/>
        </w:rPr>
      </w:pPr>
    </w:p>
    <w:p w:rsidR="003C17C2" w:rsidRDefault="00C478CC">
      <w:pPr>
        <w:pStyle w:val="Standard"/>
        <w:spacing w:line="120" w:lineRule="atLeast"/>
        <w:jc w:val="both"/>
        <w:rPr>
          <w:rFonts w:ascii="Cambria" w:hAnsi="Cambria"/>
          <w:b/>
          <w:bCs/>
          <w:color w:val="21409A"/>
          <w:sz w:val="22"/>
          <w:szCs w:val="22"/>
        </w:rPr>
      </w:pPr>
      <w:r>
        <w:rPr>
          <w:rFonts w:ascii="Cambria" w:hAnsi="Cambria"/>
          <w:b/>
          <w:bCs/>
          <w:color w:val="21409A"/>
          <w:sz w:val="22"/>
          <w:szCs w:val="22"/>
        </w:rPr>
        <w:t>KLASA III</w:t>
      </w:r>
    </w:p>
    <w:p w:rsidR="003C17C2" w:rsidRDefault="003C17C2">
      <w:pPr>
        <w:pStyle w:val="Standard"/>
        <w:spacing w:line="120" w:lineRule="atLeast"/>
        <w:jc w:val="both"/>
        <w:rPr>
          <w:rFonts w:ascii="Cambria" w:hAnsi="Cambria"/>
          <w:b/>
          <w:bCs/>
          <w:color w:val="21409A"/>
          <w:sz w:val="22"/>
          <w:szCs w:val="22"/>
        </w:rPr>
      </w:pPr>
    </w:p>
    <w:p w:rsidR="003C17C2" w:rsidRDefault="00C478CC">
      <w:pPr>
        <w:pStyle w:val="Nagwek1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11. TRYGONOMETRIA</w:t>
      </w: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60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stosuje twierdzenie Pitagorasa i twierdzenie odwrotne do twierdzenia Pitagorasa </w:t>
            </w:r>
            <w:r>
              <w:t>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wzory na przekątną kwadratu i wysokość trójkąta równobocznego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oblicza </w:t>
            </w:r>
            <w:r>
              <w:rPr>
                <w:sz w:val="22"/>
                <w:szCs w:val="22"/>
              </w:rPr>
              <w:t>wartości funkcji trygonometrycznych kąta ostrego w trójkącie prostokątnym o danych długościach boków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podaje wartości funkcji trygonometrycznych kątów: 30º, 45º, 60º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odczytuje z tablic wartości funkcji trygonometrycznych danego kąta ostrego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odczytuje z </w:t>
            </w:r>
            <w:r>
              <w:rPr>
                <w:sz w:val="22"/>
                <w:szCs w:val="22"/>
              </w:rPr>
              <w:t>tablic miarę kąta ostrego, gdy zna wartość jego funkcji trygonometrycznej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wartości pozostałych funkcji trygonometrycznych, gdy dany jest sinus lub cosinus kąta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trójkąty prostokątne 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funkcje trygonometrycz</w:t>
            </w:r>
            <w:r>
              <w:rPr>
                <w:sz w:val="22"/>
                <w:szCs w:val="22"/>
              </w:rPr>
              <w:t>ne do rozwiązywania prostych zadań praktycznych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wyznacza wartości funkcji trygonometrycznych kąta wypukłego, gdy dane są współrzędne punktu leżącego na jego końcowym ramieniu; przedstawia ten kąt na rysunku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stosuje wzory: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(18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o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α</m:t>
              </m:r>
              <m:r>
                <w:rPr>
                  <w:rFonts w:ascii="Cambria Math" w:hAnsi="Cambria Math"/>
                </w:rPr>
                <m:t>)=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α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r>
                <w:rPr>
                  <w:rFonts w:ascii="Cambria Math" w:hAnsi="Cambria Math"/>
                </w:rPr>
                <m:t>(18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o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α</m:t>
              </m:r>
              <m:r>
                <w:rPr>
                  <w:rFonts w:ascii="Cambria Math" w:hAnsi="Cambria Math"/>
                </w:rPr>
                <m:t>)=-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r>
                <w:rPr>
                  <w:rFonts w:ascii="Cambria Math" w:hAnsi="Cambria Math"/>
                </w:rPr>
                <m:t>α</m:t>
              </m:r>
              <m:r>
                <m:rPr>
                  <m:nor/>
                </m:rPr>
                <m:t>tg</m:t>
              </m:r>
              <m:r>
                <w:rPr>
                  <w:rFonts w:ascii="Cambria Math" w:hAnsi="Cambria Math"/>
                </w:rPr>
                <m:t>(18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o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α</m:t>
              </m:r>
              <m:r>
                <w:rPr>
                  <w:rFonts w:ascii="Cambria Math" w:hAnsi="Cambria Math"/>
                </w:rPr>
                <m:t>)=-</m:t>
              </m:r>
              <m:r>
                <m:rPr>
                  <m:nor/>
                </m:rPr>
                <m:t>tg</m:t>
              </m:r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sz w:val="22"/>
                <w:szCs w:val="22"/>
              </w:rPr>
              <w:t xml:space="preserve">, </w:t>
            </w:r>
            <m:oMath>
              <m:r>
                <m:rPr>
                  <m:nor/>
                </m:rPr>
                <m:t>ctg</m:t>
              </m:r>
              <m:r>
                <w:rPr>
                  <w:rFonts w:ascii="Cambria Math" w:hAnsi="Cambria Math"/>
                </w:rPr>
                <m:t>(18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o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α</m:t>
              </m:r>
              <m:r>
                <w:rPr>
                  <w:rFonts w:ascii="Cambria Math" w:hAnsi="Cambria Math"/>
                </w:rPr>
                <m:t>)=-</m:t>
              </m:r>
              <m:r>
                <m:rPr>
                  <m:nor/>
                </m:rPr>
                <m:t>ctg</m:t>
              </m:r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sz w:val="22"/>
                <w:szCs w:val="22"/>
              </w:rPr>
              <w:t xml:space="preserve"> do obliczania wartości </w:t>
            </w:r>
            <w:r>
              <w:rPr>
                <w:sz w:val="22"/>
                <w:szCs w:val="22"/>
              </w:rPr>
              <w:t>wyrażenia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oblicza wartości </w:t>
            </w:r>
            <w:r>
              <w:rPr>
                <w:sz w:val="22"/>
                <w:szCs w:val="22"/>
              </w:rPr>
              <w:t>funkcji trygonometrycznych kątów rozwartych, korzystając z tablic wartości funkcji trygonometrycznych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zaznacza w układzie współrzędnych kąt, gdy dana jest wartość jego funkcji trygonometrycznej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stosuje w zadaniach wzór na pole</w:t>
            </w:r>
            <w:r>
              <w:rPr>
                <w:sz w:val="22"/>
                <w:szCs w:val="22"/>
              </w:rPr>
              <w:t xml:space="preserve"> trójkąta: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h</m:t>
              </m:r>
            </m:oMath>
            <w:r>
              <w:rPr>
                <w:sz w:val="22"/>
                <w:szCs w:val="22"/>
              </w:rPr>
              <w:t xml:space="preserve"> oraz wzór na pole trójkąta równobocznego o boku </w:t>
            </w:r>
            <w:r>
              <w:rPr>
                <w:i/>
                <w:i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sz w:val="22"/>
                <w:szCs w:val="22"/>
              </w:rPr>
              <w:t xml:space="preserve"> 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rozróżnia czworokąty: kwadrat, prostokąt, romb, równoległobok, trapez oraz zna ich własności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w zadaniach wzory na pola czworokątów 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wykorzystuje funkcje </w:t>
            </w:r>
            <w:r>
              <w:rPr>
                <w:sz w:val="22"/>
                <w:szCs w:val="22"/>
              </w:rPr>
              <w:t>trygonometryczne do obliczania obwodów i pól podstawowych figur płaskich w prostych przypadkach</w:t>
            </w:r>
          </w:p>
        </w:tc>
      </w:tr>
    </w:tbl>
    <w:p w:rsidR="003C17C2" w:rsidRDefault="003C17C2">
      <w:pPr>
        <w:pStyle w:val="Standard"/>
        <w:jc w:val="both"/>
        <w:rPr>
          <w:rFonts w:hint="eastAsia"/>
          <w:sz w:val="22"/>
          <w:szCs w:val="22"/>
        </w:rPr>
      </w:pP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w trudniejszych przypadkach długości odcinków w trójkącie, korzystając z twierdzenia Pitagorasa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wyprowadza zależności ogólne, np. dotyczące długości przekątnej kwadratu i wysoko</w:t>
            </w:r>
            <w:r>
              <w:rPr>
                <w:sz w:val="22"/>
                <w:szCs w:val="22"/>
              </w:rPr>
              <w:t>ści trójkąta równobocznego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wartości funkcji trygonometrycznych kątów ostrych w bardziej złożonych sytuacjach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uzasadnia proste zależności, korzystając z własności funkcji trygonometrycznych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funkcje trygonometryczne do rozwiązywania trójk</w:t>
            </w:r>
            <w:r>
              <w:rPr>
                <w:sz w:val="22"/>
                <w:szCs w:val="22"/>
              </w:rPr>
              <w:t>ątów i w zadaniach praktycznych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poznane związki do upraszczania wyrażeń zawierających funkcje trygonometryczne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uzasadnia związki między funkcjami trygonometrycznymi kątów ostrych </w:t>
            </w:r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sz w:val="22"/>
                <w:szCs w:val="22"/>
              </w:rPr>
              <w:t xml:space="preserve"> i 9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o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α</m:t>
              </m:r>
            </m:oMath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wyprowadza wzór na jedynkę trygonometryczną oraz pozostałe zw</w:t>
            </w:r>
            <w:r>
              <w:rPr>
                <w:sz w:val="22"/>
                <w:szCs w:val="22"/>
              </w:rPr>
              <w:t>iązki między funkcjami trygonometrycznymi tego samego kąta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przekształca w trudniejszych przypadkach wyrażenia trygonometryczne, stosując związki między funkcjami trygonometrycznymi tego samego kąta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oblicza wartości pozostałych funkcji </w:t>
            </w:r>
            <w:r>
              <w:rPr>
                <w:sz w:val="22"/>
                <w:szCs w:val="22"/>
              </w:rPr>
              <w:t>trygonometrycznych, gdy dany jest tangens lub cotangens kąta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uzasadnia, że podana równość jest tożsamością trygonometryczną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związki między funkcjami trygonometrycznymi do rozwiązywania zadań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stosuje podczas rozwiązywania zadań wzór na pole </w:t>
            </w:r>
            <w:r>
              <w:rPr>
                <w:sz w:val="22"/>
                <w:szCs w:val="22"/>
              </w:rPr>
              <w:t xml:space="preserve">trójkąta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γ</m:t>
              </m:r>
            </m:oMath>
            <w:r>
              <w:rPr>
                <w:sz w:val="22"/>
                <w:szCs w:val="22"/>
              </w:rPr>
              <w:t xml:space="preserve"> 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wyprowadza wzór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γ</m:t>
              </m:r>
            </m:oMath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pola czworokątów w trudniejszych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umiejętność wyznaczania pól trójkątów do obliczania pól innych wielokątów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uzasadnia niektóre własności czworokątów</w:t>
            </w:r>
          </w:p>
        </w:tc>
      </w:tr>
    </w:tbl>
    <w:p w:rsidR="003C17C2" w:rsidRDefault="003C17C2">
      <w:pPr>
        <w:pStyle w:val="Standard"/>
        <w:jc w:val="both"/>
        <w:rPr>
          <w:rFonts w:hint="eastAsia"/>
          <w:sz w:val="22"/>
          <w:szCs w:val="22"/>
        </w:rPr>
      </w:pP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3C17C2" w:rsidRDefault="00C478CC">
      <w:pPr>
        <w:pStyle w:val="Textbody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(K)–(D)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dowód twierdzenia Pitagorasa i twierdzenia odwrotnego do twierdzenia Pitagorasa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uzasadnia związki miarowe w czworokątach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rozwiązuje zadania o </w:t>
            </w:r>
            <w:r>
              <w:rPr>
                <w:sz w:val="22"/>
                <w:szCs w:val="22"/>
              </w:rPr>
              <w:t>znacznym stopniu trudności z zastosowaniem trygonometrii, w tym zadania na dowodzenie związków miarowych w trójkątach i czworokątach</w:t>
            </w:r>
          </w:p>
        </w:tc>
      </w:tr>
    </w:tbl>
    <w:p w:rsidR="003C17C2" w:rsidRDefault="003C17C2">
      <w:pPr>
        <w:pStyle w:val="Nagwek1"/>
        <w:rPr>
          <w:rFonts w:ascii="Times New Roman" w:hAnsi="Times New Roman" w:cs="Times New Roman"/>
          <w:sz w:val="22"/>
          <w:szCs w:val="22"/>
        </w:rPr>
      </w:pPr>
    </w:p>
    <w:p w:rsidR="003C17C2" w:rsidRDefault="003C17C2">
      <w:pPr>
        <w:pStyle w:val="Nagwek1"/>
        <w:rPr>
          <w:rFonts w:ascii="Times New Roman" w:hAnsi="Times New Roman" w:cs="Times New Roman"/>
          <w:sz w:val="22"/>
          <w:szCs w:val="22"/>
        </w:rPr>
      </w:pPr>
    </w:p>
    <w:p w:rsidR="003C17C2" w:rsidRDefault="00C478CC">
      <w:pPr>
        <w:pStyle w:val="Nagwek1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12. PLANIMETRIA</w:t>
      </w: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kąty środkowe w okręgu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długość okręgu i długość łuku okręgu 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określa wzajemne położenie dwóch okręgów, gdy dane są promienie tych okręgów oraz odleg</w:t>
            </w:r>
            <w:r>
              <w:rPr>
                <w:bCs/>
                <w:sz w:val="22"/>
                <w:szCs w:val="22"/>
              </w:rPr>
              <w:t>łość między ich środkami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wykorzystuje styczność okręgów do rozwiązywania zadań </w:t>
            </w:r>
            <w:r>
              <w:rPr>
                <w:bCs/>
                <w:color w:val="000000"/>
                <w:sz w:val="22"/>
                <w:szCs w:val="22"/>
              </w:rPr>
              <w:t>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pole koła i pole wycinka koła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pole figury, stosując wzór na pole koła, i pole wycinka koła w prostych sytuacjach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określa wzajemne </w:t>
            </w:r>
            <w:r>
              <w:rPr>
                <w:bCs/>
                <w:sz w:val="22"/>
                <w:szCs w:val="22"/>
              </w:rPr>
              <w:t>położenie okręgu i prostej, porównując odległość jego środka od prostej z promieniem okręgu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rozpoznaje kąty wpisane w okrąg oraz wskazuje łuki, na których są one oparte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>stosuje twierdzenie o kącie środkowym i wpisanym, opartych na tym samym łuku oraz wn</w:t>
            </w:r>
            <w:r>
              <w:rPr>
                <w:bCs/>
                <w:sz w:val="22"/>
                <w:szCs w:val="22"/>
              </w:rPr>
              <w:t xml:space="preserve">ioski z tego twierdzenia </w:t>
            </w:r>
            <w:r>
              <w:rPr>
                <w:bCs/>
                <w:color w:val="000000"/>
                <w:sz w:val="22"/>
                <w:szCs w:val="22"/>
              </w:rPr>
              <w:t>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zadania dotyczące okręgu opisanego na trójkącie równobocznym lub prostokątnym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zadania dotyczące okręgu opisanego na dowolnym trójkącie w zadaniach z planimetrii 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zadania dotyczące okręgu wpisanego w trójkąt równoboczny lub prostokątny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rozwiązuje zadania dotyczące okręgu wpisanego w dowolny trójkąt </w:t>
            </w:r>
            <w:r>
              <w:rPr>
                <w:bCs/>
                <w:color w:val="000000"/>
                <w:sz w:val="22"/>
                <w:szCs w:val="22"/>
              </w:rPr>
              <w:t>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sprawdza, czy na danym czworokącie można opisać okrąg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stosuje twierdzenie o </w:t>
            </w:r>
            <w:r>
              <w:rPr>
                <w:bCs/>
                <w:sz w:val="22"/>
                <w:szCs w:val="22"/>
              </w:rPr>
              <w:t xml:space="preserve">okręgu opisanym na czworokącie do rozwiązywania zadań </w:t>
            </w:r>
            <w:r>
              <w:rPr>
                <w:sz w:val="22"/>
                <w:szCs w:val="22"/>
              </w:rPr>
              <w:t>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sprawdza, czy w dany czworokąt można wpisać okrąg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>stosuje twierdzenie o okręgu wpisanym w czworokąt do rozwiązywania zadań</w:t>
            </w:r>
            <w:r>
              <w:rPr>
                <w:sz w:val="22"/>
                <w:szCs w:val="22"/>
              </w:rPr>
              <w:t xml:space="preserve"> 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opisuje własności wielokątów f</w:t>
            </w:r>
            <w:r>
              <w:rPr>
                <w:sz w:val="22"/>
                <w:szCs w:val="22"/>
              </w:rPr>
              <w:t>oremnych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miarę kąta wewnętrznego danego wielokąta foremnego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liczbę boków wielokąta foremnego, znając sumę miar jego kątów wewnętrznych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oblicza promień okręgu opisanego na wielokącie foremnym i wpisanego w wielokąt foremnym </w:t>
            </w:r>
            <w:r>
              <w:rPr>
                <w:bCs/>
                <w:color w:val="000000"/>
                <w:sz w:val="22"/>
                <w:szCs w:val="22"/>
              </w:rPr>
              <w:t>w prostych p</w:t>
            </w:r>
            <w:r>
              <w:rPr>
                <w:bCs/>
                <w:color w:val="000000"/>
                <w:sz w:val="22"/>
                <w:szCs w:val="22"/>
              </w:rPr>
              <w:t>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twierdzenie sinusów do rozwiązywania trójkątów w prostych przypadkach, także osadzonych w kontekście praktycznym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twierdzenie cosinusów do rozwiązywania trójkątów w prostych przypadkach, także osadzonych w kontekście praktycznym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wskazuje najmniejszy (największy) kąt w trójkącie, znając długości boków trójkąta</w:t>
            </w:r>
          </w:p>
        </w:tc>
      </w:tr>
    </w:tbl>
    <w:p w:rsidR="003C17C2" w:rsidRDefault="003C17C2">
      <w:pPr>
        <w:pStyle w:val="Standard"/>
        <w:jc w:val="both"/>
        <w:rPr>
          <w:rFonts w:hint="eastAsia"/>
          <w:sz w:val="22"/>
          <w:szCs w:val="22"/>
        </w:rPr>
      </w:pP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wykorzystuje styczność okręgów do rozwiązywania zadań 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>trudniejszych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pole figury, stosując wzory na pole koła i pole wycinka kołowego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twierdzenie o odcinkach stycznych do rozwiązywania zadań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korzysta z własności stycznej do okręgu do rozwiązywania zadań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stosuje twierdzenie </w:t>
            </w:r>
            <w:r>
              <w:rPr>
                <w:bCs/>
                <w:sz w:val="22"/>
                <w:szCs w:val="22"/>
              </w:rPr>
              <w:t>o kątach środkowym i wpisanym, opartych na tym samym łuku oraz wnioski z tego twierdzenia</w:t>
            </w:r>
            <w:r>
              <w:rPr>
                <w:sz w:val="22"/>
                <w:szCs w:val="22"/>
              </w:rPr>
              <w:t xml:space="preserve"> w trudniejszych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stosuje </w:t>
            </w:r>
            <w:r>
              <w:rPr>
                <w:bCs/>
                <w:sz w:val="22"/>
                <w:szCs w:val="22"/>
              </w:rPr>
              <w:t>twierdzenie o cięciwach do wyznaczania długości odcinków w okręgach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zadania dotyczące okręgu opisanego na trójkącie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zadania dotyczące okręgu wpisanego w trójkąt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zadania dotyczące okręgu opisanego na czworokącie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zadania dotyczące okręgu wpisanego w czworokąt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>stosuje twierdzenie sinusów i cosinusów do rozwiązywania trójkątów oraz do ro</w:t>
            </w:r>
            <w:r>
              <w:rPr>
                <w:bCs/>
                <w:sz w:val="22"/>
                <w:szCs w:val="22"/>
              </w:rPr>
              <w:t>związywania zadań</w:t>
            </w:r>
            <w:r>
              <w:rPr>
                <w:sz w:val="22"/>
                <w:szCs w:val="22"/>
              </w:rPr>
              <w:t xml:space="preserve"> osadzonych w kontekście praktycznym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dowód twierdzenia o kątach środkowym i wpisanym w okręgu, opartych na tym samym łuku</w:t>
            </w:r>
          </w:p>
        </w:tc>
      </w:tr>
    </w:tbl>
    <w:p w:rsidR="003C17C2" w:rsidRDefault="003C17C2">
      <w:pPr>
        <w:pStyle w:val="Standard"/>
        <w:jc w:val="both"/>
        <w:rPr>
          <w:rFonts w:hint="eastAsia"/>
          <w:sz w:val="22"/>
          <w:szCs w:val="22"/>
        </w:rPr>
      </w:pP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3C17C2" w:rsidRDefault="00C478CC">
      <w:pPr>
        <w:pStyle w:val="Textbody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(K)–(D) or</w:t>
      </w:r>
      <w:r>
        <w:rPr>
          <w:sz w:val="22"/>
          <w:szCs w:val="22"/>
        </w:rPr>
        <w:t>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dowód twierdzenia o cięciwach w okręgu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udowadnia zależności w trójkątach i czworokątach o podwyższonym stopniu trudności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udowadnia zależności w wielokątach foremnych o podwyższonym stopniu trudności, także z zastosowaniem trygonometrii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przeprowadza dowód twierdzenia sinusów i dowód twierdzenia cosinusów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z planimetrii z zastosowaniem trygonometrii o podwyższonym stopniu trudności</w:t>
            </w:r>
          </w:p>
        </w:tc>
      </w:tr>
    </w:tbl>
    <w:p w:rsidR="003C17C2" w:rsidRDefault="003C17C2">
      <w:pPr>
        <w:pStyle w:val="Nagwek1"/>
        <w:rPr>
          <w:rFonts w:ascii="Times New Roman" w:hAnsi="Times New Roman" w:cs="Times New Roman"/>
          <w:sz w:val="22"/>
          <w:szCs w:val="22"/>
        </w:rPr>
      </w:pPr>
    </w:p>
    <w:p w:rsidR="003C17C2" w:rsidRDefault="00C478CC">
      <w:pPr>
        <w:pStyle w:val="Nagwek1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13. FUNKCJA WYKŁADNICZA I FUNKCJA LOGARYTMICZNA</w:t>
      </w: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61"/>
              </w:numPr>
              <w:ind w:left="355" w:hanging="2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zapisuje daną liczbę w postaci potęgi o danej podstawie i wykładniku rzeczywistym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62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upraszcza wyrażenia, stosując prawa działań na potęgach 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oblicza wartości funkcji </w:t>
            </w:r>
            <w:r>
              <w:rPr>
                <w:bCs/>
                <w:sz w:val="22"/>
                <w:szCs w:val="22"/>
              </w:rPr>
              <w:t>wykładniczej dla podanych argumentów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sprawdza, czy podany punkt należy do wykresu danej funkcji wykładniczej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wyznacza wzór funkcji wykładniczej na podstawie współrzędnych punktu należącego do wykresu tej funkcji oraz szkicuje ten wykres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szkicuje wykres </w:t>
            </w:r>
            <w:r>
              <w:rPr>
                <w:bCs/>
                <w:sz w:val="22"/>
                <w:szCs w:val="22"/>
              </w:rPr>
              <w:t>funkcji wykładniczej i podaje jej własności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szkicuje wykres funkcji wykładniczej, stosując przesunięcie o wektor albo symetrię względem osi układu współrzędnych, i podaje jej własności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oblicza logarytm danej liczby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stosuje równości wynikające z definic</w:t>
            </w:r>
            <w:r>
              <w:rPr>
                <w:bCs/>
                <w:sz w:val="22"/>
                <w:szCs w:val="22"/>
              </w:rPr>
              <w:t>ji logarytmu do prostych obliczeń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stosuje twierdzenia o logarytmie iloczynu, ilorazu oraz potęgi do obliczania wartości wyrażeń z logarytmami 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szkicuje wykres funkcji logarytmicznej i określa jej własności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oblicza podstawę logarytm</w:t>
            </w:r>
            <w:r>
              <w:rPr>
                <w:bCs/>
                <w:sz w:val="22"/>
                <w:szCs w:val="22"/>
              </w:rPr>
              <w:t>u we wzorze funkcji logarytmicznej, znając współrzędne punktu należącego do wykresu tej funkcji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wyznacza zbiór wartości funkcji logarytmicznej o podanej dziedzinie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szkicuje wykres funkcji logarytmicznej, stosując przesunięcie o wektor albo symetrię </w:t>
            </w:r>
            <w:r>
              <w:rPr>
                <w:bCs/>
                <w:sz w:val="22"/>
                <w:szCs w:val="22"/>
              </w:rPr>
              <w:t>względem osi układu współrzędnych, i podaje jej własności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stosuje twierdzenie o zmianie podstawy logarytmu przy przekształcaniu wyrażeń z logarytmami w prostych 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wykorzystuje funkcje wykładniczą i logarytmiczną do rozwiązywania zadań osadzonyc</w:t>
            </w:r>
            <w:r>
              <w:rPr>
                <w:bCs/>
                <w:sz w:val="22"/>
                <w:szCs w:val="22"/>
              </w:rPr>
              <w:t>h w kontekście praktycznym w prostych przypadkach</w:t>
            </w:r>
          </w:p>
        </w:tc>
      </w:tr>
    </w:tbl>
    <w:p w:rsidR="003C17C2" w:rsidRDefault="003C17C2">
      <w:pPr>
        <w:pStyle w:val="Standard"/>
        <w:jc w:val="both"/>
        <w:rPr>
          <w:rFonts w:hint="eastAsia"/>
          <w:sz w:val="22"/>
          <w:szCs w:val="22"/>
        </w:rPr>
      </w:pP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upraszcza wyrażenia, stosując prawa działań na potęgach w bardziej złożonych sytuacjach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porównuje liczby przedstawione w postaci potęg </w:t>
            </w:r>
            <w:r>
              <w:rPr>
                <w:sz w:val="22"/>
                <w:szCs w:val="22"/>
              </w:rPr>
              <w:t xml:space="preserve">w trudniejszych </w:t>
            </w:r>
            <w:r>
              <w:rPr>
                <w:sz w:val="22"/>
                <w:szCs w:val="22"/>
              </w:rPr>
              <w:t>przypadkach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podaje przybliżone wartości logarytmów dziesiętnych z wykorzystaniem tablic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wyznacza podstawę logarytmu lub liczbę logarytmowaną, gdy dana jest wartość logarytmu, podaje odpowiednie założenia dla podstawy logarytmu oraz liczby logarytmowanej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stosuje twierdzenie o logarytmie iloczynu, ilorazu i potęgi do uzasadniania równości wyrażeń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szkicuje wykresy funkcji wykładniczej lub logarytmicznej otrzymane w wyniku złożenia kilku przekształceń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rozwiązuje proste równania wykładnicze, korzystając z </w:t>
            </w:r>
            <w:r>
              <w:rPr>
                <w:bCs/>
                <w:sz w:val="22"/>
                <w:szCs w:val="22"/>
              </w:rPr>
              <w:t>wykresu i własności funkcji wykładniczej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proste nierówności wykładnicze, korzystając z wykresu i monotoniczności funkcji wykładniczej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proste równania i nierówności logarytmiczne, korzystając z wykresu i własności funkcji logarytmicz</w:t>
            </w:r>
            <w:r>
              <w:rPr>
                <w:bCs/>
                <w:sz w:val="22"/>
                <w:szCs w:val="22"/>
              </w:rPr>
              <w:t>nej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wykorzystuje własności funkcji wykładniczej i logarytmicznej do rozwiązywania zadań osadzonych w kontekście praktycznym, np. dotyczące wzrostu wykładniczego i rozpadu promieniotwórczego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zadania z parametrem dotyczące funkcji wykładniczej l</w:t>
            </w:r>
            <w:r>
              <w:rPr>
                <w:bCs/>
                <w:sz w:val="22"/>
                <w:szCs w:val="22"/>
              </w:rPr>
              <w:t>ub logarytmicznej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zaznacza w układzie współrzędnych zbiory punktów opisanych z wykorzystaniem funkcji wykładniczej i logarytmicznej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wykorzystuje twierdzenie o zmianie podstawy logarytmu w zadaniach na dowodzenie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lastRenderedPageBreak/>
              <w:t>udowadnia twierdzenie dotyczące niewymie</w:t>
            </w:r>
            <w:r>
              <w:rPr>
                <w:bCs/>
                <w:sz w:val="22"/>
                <w:szCs w:val="22"/>
              </w:rPr>
              <w:t xml:space="preserve">rności liczby np.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3</m:t>
              </m:r>
            </m:oMath>
          </w:p>
        </w:tc>
      </w:tr>
    </w:tbl>
    <w:p w:rsidR="003C17C2" w:rsidRDefault="003C17C2">
      <w:pPr>
        <w:pStyle w:val="Standard"/>
        <w:jc w:val="both"/>
        <w:rPr>
          <w:rFonts w:hint="eastAsia"/>
          <w:sz w:val="22"/>
          <w:szCs w:val="22"/>
        </w:rPr>
      </w:pPr>
    </w:p>
    <w:p w:rsidR="003C17C2" w:rsidRDefault="00C478CC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3C17C2" w:rsidRDefault="00C478CC">
      <w:pPr>
        <w:pStyle w:val="Textbody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(K)–(D)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Standard"/>
              <w:numPr>
                <w:ilvl w:val="0"/>
                <w:numId w:val="10"/>
              </w:numPr>
              <w:rPr>
                <w:rFonts w:hint="eastAsia"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rozwiązuje zadania o znacznym stopniu trudności dotyczące funkcji wykładniczej i logarytmicznej</w:t>
            </w:r>
          </w:p>
        </w:tc>
      </w:tr>
      <w:tr w:rsidR="003C17C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C17C2" w:rsidRDefault="00C478CC">
            <w:pPr>
              <w:pStyle w:val="Akapitzlist"/>
              <w:numPr>
                <w:ilvl w:val="0"/>
                <w:numId w:val="1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udowadnia twierdzenia o logarytmach, w szczególności twierdz</w:t>
            </w:r>
            <w:r>
              <w:rPr>
                <w:bCs/>
                <w:sz w:val="22"/>
                <w:szCs w:val="22"/>
              </w:rPr>
              <w:t>enie o działaniach na logarytmach i twierdzenie o zmianie podstawy logarytmu</w:t>
            </w:r>
          </w:p>
        </w:tc>
      </w:tr>
    </w:tbl>
    <w:p w:rsidR="003C17C2" w:rsidRDefault="003C17C2">
      <w:pPr>
        <w:pStyle w:val="Standard"/>
        <w:spacing w:line="120" w:lineRule="atLeast"/>
        <w:rPr>
          <w:rFonts w:hint="eastAsia"/>
          <w:color w:val="000000"/>
          <w:sz w:val="22"/>
          <w:szCs w:val="22"/>
        </w:rPr>
      </w:pPr>
    </w:p>
    <w:p w:rsidR="003C17C2" w:rsidRDefault="003C17C2">
      <w:pPr>
        <w:pStyle w:val="Standard"/>
        <w:spacing w:line="120" w:lineRule="atLeast"/>
        <w:rPr>
          <w:rFonts w:hint="eastAsia"/>
          <w:color w:val="000000"/>
          <w:sz w:val="22"/>
          <w:szCs w:val="22"/>
        </w:rPr>
      </w:pPr>
    </w:p>
    <w:p w:rsidR="003C17C2" w:rsidRDefault="003C17C2">
      <w:pPr>
        <w:pStyle w:val="Textbody"/>
        <w:spacing w:line="120" w:lineRule="atLeast"/>
        <w:jc w:val="both"/>
        <w:rPr>
          <w:rFonts w:hint="eastAsia"/>
          <w:sz w:val="22"/>
          <w:szCs w:val="22"/>
        </w:rPr>
      </w:pPr>
    </w:p>
    <w:sectPr w:rsidR="003C17C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78C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478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78C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478C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0FC"/>
    <w:multiLevelType w:val="multilevel"/>
    <w:tmpl w:val="CEA05EC0"/>
    <w:styleLink w:val="WWNum3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" w15:restartNumberingAfterBreak="0">
    <w:nsid w:val="08E5644F"/>
    <w:multiLevelType w:val="multilevel"/>
    <w:tmpl w:val="EA344CEC"/>
    <w:styleLink w:val="WWNum2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" w15:restartNumberingAfterBreak="0">
    <w:nsid w:val="09BF168C"/>
    <w:multiLevelType w:val="multilevel"/>
    <w:tmpl w:val="50AAF5FE"/>
    <w:styleLink w:val="WWNum1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" w15:restartNumberingAfterBreak="0">
    <w:nsid w:val="09F53044"/>
    <w:multiLevelType w:val="multilevel"/>
    <w:tmpl w:val="D632FB1E"/>
    <w:styleLink w:val="WWNum2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" w15:restartNumberingAfterBreak="0">
    <w:nsid w:val="0B416F86"/>
    <w:multiLevelType w:val="multilevel"/>
    <w:tmpl w:val="51048244"/>
    <w:styleLink w:val="WWNum3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" w15:restartNumberingAfterBreak="0">
    <w:nsid w:val="0FC05996"/>
    <w:multiLevelType w:val="multilevel"/>
    <w:tmpl w:val="3F448678"/>
    <w:styleLink w:val="WWNum4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05502D"/>
    <w:multiLevelType w:val="multilevel"/>
    <w:tmpl w:val="22881E9C"/>
    <w:styleLink w:val="WWNum4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0EE1AF3"/>
    <w:multiLevelType w:val="multilevel"/>
    <w:tmpl w:val="1AF69B00"/>
    <w:styleLink w:val="WWNum1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8" w15:restartNumberingAfterBreak="0">
    <w:nsid w:val="12C83D47"/>
    <w:multiLevelType w:val="multilevel"/>
    <w:tmpl w:val="366AF492"/>
    <w:styleLink w:val="WWNum1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9" w15:restartNumberingAfterBreak="0">
    <w:nsid w:val="15C568E3"/>
    <w:multiLevelType w:val="multilevel"/>
    <w:tmpl w:val="500C6172"/>
    <w:styleLink w:val="WWNum4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7694082"/>
    <w:multiLevelType w:val="multilevel"/>
    <w:tmpl w:val="04B27054"/>
    <w:styleLink w:val="WWNum3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1" w15:restartNumberingAfterBreak="0">
    <w:nsid w:val="1A0F688B"/>
    <w:multiLevelType w:val="multilevel"/>
    <w:tmpl w:val="E38ACA4E"/>
    <w:styleLink w:val="WWNum7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FD199B"/>
    <w:multiLevelType w:val="multilevel"/>
    <w:tmpl w:val="ECC847B2"/>
    <w:styleLink w:val="WWNum4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FFD5B5C"/>
    <w:multiLevelType w:val="multilevel"/>
    <w:tmpl w:val="34F06308"/>
    <w:styleLink w:val="WWNum1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4" w15:restartNumberingAfterBreak="0">
    <w:nsid w:val="20F87FBE"/>
    <w:multiLevelType w:val="multilevel"/>
    <w:tmpl w:val="FDD6A9EC"/>
    <w:styleLink w:val="WWNum2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5" w15:restartNumberingAfterBreak="0">
    <w:nsid w:val="214452FF"/>
    <w:multiLevelType w:val="multilevel"/>
    <w:tmpl w:val="7E46DFCE"/>
    <w:styleLink w:val="WWNum3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1520FA0"/>
    <w:multiLevelType w:val="multilevel"/>
    <w:tmpl w:val="439E5C86"/>
    <w:styleLink w:val="WWNum55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6D27119"/>
    <w:multiLevelType w:val="multilevel"/>
    <w:tmpl w:val="525A97C0"/>
    <w:styleLink w:val="WWNum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86726CE"/>
    <w:multiLevelType w:val="multilevel"/>
    <w:tmpl w:val="C3A04D66"/>
    <w:styleLink w:val="WWNum5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A6D4384"/>
    <w:multiLevelType w:val="multilevel"/>
    <w:tmpl w:val="DBB67916"/>
    <w:styleLink w:val="WWNum2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0" w15:restartNumberingAfterBreak="0">
    <w:nsid w:val="2ABD611C"/>
    <w:multiLevelType w:val="multilevel"/>
    <w:tmpl w:val="744C1F20"/>
    <w:styleLink w:val="WWNum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C5D1470"/>
    <w:multiLevelType w:val="multilevel"/>
    <w:tmpl w:val="6CB03E96"/>
    <w:styleLink w:val="WWNum2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2" w15:restartNumberingAfterBreak="0">
    <w:nsid w:val="2D611C20"/>
    <w:multiLevelType w:val="multilevel"/>
    <w:tmpl w:val="40C2A486"/>
    <w:styleLink w:val="WWNum2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3" w15:restartNumberingAfterBreak="0">
    <w:nsid w:val="2EAB0AF3"/>
    <w:multiLevelType w:val="multilevel"/>
    <w:tmpl w:val="5D003494"/>
    <w:styleLink w:val="WWNum3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2F132037"/>
    <w:multiLevelType w:val="multilevel"/>
    <w:tmpl w:val="05780F52"/>
    <w:styleLink w:val="WWNum4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1A53765"/>
    <w:multiLevelType w:val="multilevel"/>
    <w:tmpl w:val="C09A4B9E"/>
    <w:styleLink w:val="WWNum3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5426F06"/>
    <w:multiLevelType w:val="multilevel"/>
    <w:tmpl w:val="FFFC0B72"/>
    <w:styleLink w:val="WWNum3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7" w15:restartNumberingAfterBreak="0">
    <w:nsid w:val="364B0AC6"/>
    <w:multiLevelType w:val="multilevel"/>
    <w:tmpl w:val="12C8E7B8"/>
    <w:styleLink w:val="WWNum2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8" w15:restartNumberingAfterBreak="0">
    <w:nsid w:val="37D7696D"/>
    <w:multiLevelType w:val="multilevel"/>
    <w:tmpl w:val="7724219E"/>
    <w:styleLink w:val="WWNum3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ACB4C82"/>
    <w:multiLevelType w:val="multilevel"/>
    <w:tmpl w:val="B80C34DC"/>
    <w:styleLink w:val="WWNum4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3BB7204B"/>
    <w:multiLevelType w:val="multilevel"/>
    <w:tmpl w:val="120A48E8"/>
    <w:styleLink w:val="WWNum5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3D477AAB"/>
    <w:multiLevelType w:val="multilevel"/>
    <w:tmpl w:val="808846E4"/>
    <w:styleLink w:val="WWNum4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3EF340B5"/>
    <w:multiLevelType w:val="multilevel"/>
    <w:tmpl w:val="360E1850"/>
    <w:styleLink w:val="WWNum3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1701CDA"/>
    <w:multiLevelType w:val="multilevel"/>
    <w:tmpl w:val="10F4B376"/>
    <w:styleLink w:val="WWNum1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4" w15:restartNumberingAfterBreak="0">
    <w:nsid w:val="48593576"/>
    <w:multiLevelType w:val="multilevel"/>
    <w:tmpl w:val="4B32332E"/>
    <w:styleLink w:val="WWNum2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5" w15:restartNumberingAfterBreak="0">
    <w:nsid w:val="502D1D61"/>
    <w:multiLevelType w:val="multilevel"/>
    <w:tmpl w:val="B1687614"/>
    <w:styleLink w:val="WWNum53"/>
    <w:lvl w:ilvl="0"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0396176"/>
    <w:multiLevelType w:val="multilevel"/>
    <w:tmpl w:val="511C1B62"/>
    <w:styleLink w:val="WWNum5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A7217CA"/>
    <w:multiLevelType w:val="multilevel"/>
    <w:tmpl w:val="CA0CB55C"/>
    <w:styleLink w:val="WWNum3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8" w15:restartNumberingAfterBreak="0">
    <w:nsid w:val="5D4B4C44"/>
    <w:multiLevelType w:val="multilevel"/>
    <w:tmpl w:val="3A5AE264"/>
    <w:styleLink w:val="WWNum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9" w15:restartNumberingAfterBreak="0">
    <w:nsid w:val="5DDB6867"/>
    <w:multiLevelType w:val="multilevel"/>
    <w:tmpl w:val="EA7654CE"/>
    <w:styleLink w:val="WWNum1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0" w15:restartNumberingAfterBreak="0">
    <w:nsid w:val="5E3D1090"/>
    <w:multiLevelType w:val="multilevel"/>
    <w:tmpl w:val="196CB708"/>
    <w:styleLink w:val="WWNum2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1" w15:restartNumberingAfterBreak="0">
    <w:nsid w:val="5F2A1416"/>
    <w:multiLevelType w:val="multilevel"/>
    <w:tmpl w:val="8FFAFAE2"/>
    <w:styleLink w:val="WWNum5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F2E238B"/>
    <w:multiLevelType w:val="multilevel"/>
    <w:tmpl w:val="95DC95D8"/>
    <w:styleLink w:val="WWNum1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3" w15:restartNumberingAfterBreak="0">
    <w:nsid w:val="61653642"/>
    <w:multiLevelType w:val="multilevel"/>
    <w:tmpl w:val="9FBA2A12"/>
    <w:styleLink w:val="WWNum1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4" w15:restartNumberingAfterBreak="0">
    <w:nsid w:val="632D6FA8"/>
    <w:multiLevelType w:val="multilevel"/>
    <w:tmpl w:val="B65A48D4"/>
    <w:styleLink w:val="WWNum1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3993D08"/>
    <w:multiLevelType w:val="multilevel"/>
    <w:tmpl w:val="4CB637BE"/>
    <w:styleLink w:val="WWNum4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63A91B7B"/>
    <w:multiLevelType w:val="multilevel"/>
    <w:tmpl w:val="C7DA7C2A"/>
    <w:styleLink w:val="WWNum8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64752748"/>
    <w:multiLevelType w:val="multilevel"/>
    <w:tmpl w:val="4308DCA4"/>
    <w:styleLink w:val="WWNum1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8" w15:restartNumberingAfterBreak="0">
    <w:nsid w:val="64D040F5"/>
    <w:multiLevelType w:val="multilevel"/>
    <w:tmpl w:val="82D6F3E6"/>
    <w:styleLink w:val="WWNum1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9" w15:restartNumberingAfterBreak="0">
    <w:nsid w:val="685A024E"/>
    <w:multiLevelType w:val="multilevel"/>
    <w:tmpl w:val="41AE45FC"/>
    <w:styleLink w:val="WWNum6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68F43848"/>
    <w:multiLevelType w:val="multilevel"/>
    <w:tmpl w:val="CAF0FC92"/>
    <w:styleLink w:val="WWNum2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1" w15:restartNumberingAfterBreak="0">
    <w:nsid w:val="696F17F0"/>
    <w:multiLevelType w:val="multilevel"/>
    <w:tmpl w:val="00D2EA08"/>
    <w:styleLink w:val="WWNum56"/>
    <w:lvl w:ilvl="0">
      <w:numFmt w:val="bullet"/>
      <w:lvlText w:val=""/>
      <w:lvlJc w:val="left"/>
      <w:pPr>
        <w:ind w:left="502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79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6" w:hanging="360"/>
      </w:pPr>
      <w:rPr>
        <w:rFonts w:ascii="Wingdings" w:hAnsi="Wingdings"/>
      </w:rPr>
    </w:lvl>
  </w:abstractNum>
  <w:abstractNum w:abstractNumId="52" w15:restartNumberingAfterBreak="0">
    <w:nsid w:val="6B3105C2"/>
    <w:multiLevelType w:val="multilevel"/>
    <w:tmpl w:val="1D8255BC"/>
    <w:styleLink w:val="WWNum5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6F6251D0"/>
    <w:multiLevelType w:val="multilevel"/>
    <w:tmpl w:val="D2D6EFF6"/>
    <w:styleLink w:val="WWNum5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729C1826"/>
    <w:multiLevelType w:val="multilevel"/>
    <w:tmpl w:val="5728F5C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5" w15:restartNumberingAfterBreak="0">
    <w:nsid w:val="78995A16"/>
    <w:multiLevelType w:val="multilevel"/>
    <w:tmpl w:val="B08C908A"/>
    <w:styleLink w:val="WWNum4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B9D1326"/>
    <w:multiLevelType w:val="multilevel"/>
    <w:tmpl w:val="9DB48484"/>
    <w:styleLink w:val="WWNum3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BBC1E36"/>
    <w:multiLevelType w:val="multilevel"/>
    <w:tmpl w:val="6B3A01E8"/>
    <w:styleLink w:val="WWNum4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4"/>
  </w:num>
  <w:num w:numId="2">
    <w:abstractNumId w:val="44"/>
  </w:num>
  <w:num w:numId="3">
    <w:abstractNumId w:val="20"/>
  </w:num>
  <w:num w:numId="4">
    <w:abstractNumId w:val="28"/>
  </w:num>
  <w:num w:numId="5">
    <w:abstractNumId w:val="6"/>
  </w:num>
  <w:num w:numId="6">
    <w:abstractNumId w:val="36"/>
  </w:num>
  <w:num w:numId="7">
    <w:abstractNumId w:val="49"/>
  </w:num>
  <w:num w:numId="8">
    <w:abstractNumId w:val="11"/>
  </w:num>
  <w:num w:numId="9">
    <w:abstractNumId w:val="46"/>
  </w:num>
  <w:num w:numId="10">
    <w:abstractNumId w:val="38"/>
  </w:num>
  <w:num w:numId="11">
    <w:abstractNumId w:val="42"/>
  </w:num>
  <w:num w:numId="12">
    <w:abstractNumId w:val="2"/>
  </w:num>
  <w:num w:numId="13">
    <w:abstractNumId w:val="39"/>
  </w:num>
  <w:num w:numId="14">
    <w:abstractNumId w:val="48"/>
  </w:num>
  <w:num w:numId="15">
    <w:abstractNumId w:val="33"/>
  </w:num>
  <w:num w:numId="16">
    <w:abstractNumId w:val="7"/>
  </w:num>
  <w:num w:numId="17">
    <w:abstractNumId w:val="47"/>
  </w:num>
  <w:num w:numId="18">
    <w:abstractNumId w:val="8"/>
  </w:num>
  <w:num w:numId="19">
    <w:abstractNumId w:val="13"/>
  </w:num>
  <w:num w:numId="20">
    <w:abstractNumId w:val="43"/>
  </w:num>
  <w:num w:numId="21">
    <w:abstractNumId w:val="14"/>
  </w:num>
  <w:num w:numId="22">
    <w:abstractNumId w:val="27"/>
  </w:num>
  <w:num w:numId="23">
    <w:abstractNumId w:val="1"/>
  </w:num>
  <w:num w:numId="24">
    <w:abstractNumId w:val="22"/>
  </w:num>
  <w:num w:numId="25">
    <w:abstractNumId w:val="3"/>
  </w:num>
  <w:num w:numId="26">
    <w:abstractNumId w:val="19"/>
  </w:num>
  <w:num w:numId="27">
    <w:abstractNumId w:val="40"/>
  </w:num>
  <w:num w:numId="28">
    <w:abstractNumId w:val="21"/>
  </w:num>
  <w:num w:numId="29">
    <w:abstractNumId w:val="34"/>
  </w:num>
  <w:num w:numId="30">
    <w:abstractNumId w:val="50"/>
  </w:num>
  <w:num w:numId="31">
    <w:abstractNumId w:val="10"/>
  </w:num>
  <w:num w:numId="32">
    <w:abstractNumId w:val="37"/>
  </w:num>
  <w:num w:numId="33">
    <w:abstractNumId w:val="4"/>
  </w:num>
  <w:num w:numId="34">
    <w:abstractNumId w:val="0"/>
  </w:num>
  <w:num w:numId="35">
    <w:abstractNumId w:val="26"/>
  </w:num>
  <w:num w:numId="36">
    <w:abstractNumId w:val="32"/>
  </w:num>
  <w:num w:numId="37">
    <w:abstractNumId w:val="56"/>
  </w:num>
  <w:num w:numId="38">
    <w:abstractNumId w:val="15"/>
  </w:num>
  <w:num w:numId="39">
    <w:abstractNumId w:val="23"/>
  </w:num>
  <w:num w:numId="40">
    <w:abstractNumId w:val="25"/>
  </w:num>
  <w:num w:numId="41">
    <w:abstractNumId w:val="12"/>
  </w:num>
  <w:num w:numId="42">
    <w:abstractNumId w:val="45"/>
  </w:num>
  <w:num w:numId="43">
    <w:abstractNumId w:val="55"/>
  </w:num>
  <w:num w:numId="44">
    <w:abstractNumId w:val="31"/>
  </w:num>
  <w:num w:numId="45">
    <w:abstractNumId w:val="57"/>
  </w:num>
  <w:num w:numId="46">
    <w:abstractNumId w:val="29"/>
  </w:num>
  <w:num w:numId="47">
    <w:abstractNumId w:val="24"/>
  </w:num>
  <w:num w:numId="48">
    <w:abstractNumId w:val="5"/>
  </w:num>
  <w:num w:numId="49">
    <w:abstractNumId w:val="17"/>
  </w:num>
  <w:num w:numId="50">
    <w:abstractNumId w:val="9"/>
  </w:num>
  <w:num w:numId="51">
    <w:abstractNumId w:val="53"/>
  </w:num>
  <w:num w:numId="52">
    <w:abstractNumId w:val="18"/>
  </w:num>
  <w:num w:numId="53">
    <w:abstractNumId w:val="52"/>
  </w:num>
  <w:num w:numId="54">
    <w:abstractNumId w:val="35"/>
  </w:num>
  <w:num w:numId="55">
    <w:abstractNumId w:val="30"/>
  </w:num>
  <w:num w:numId="56">
    <w:abstractNumId w:val="16"/>
  </w:num>
  <w:num w:numId="57">
    <w:abstractNumId w:val="51"/>
  </w:num>
  <w:num w:numId="58">
    <w:abstractNumId w:val="41"/>
  </w:num>
  <w:num w:numId="59">
    <w:abstractNumId w:val="48"/>
    <w:lvlOverride w:ilvl="0"/>
  </w:num>
  <w:num w:numId="60">
    <w:abstractNumId w:val="46"/>
    <w:lvlOverride w:ilvl="0"/>
  </w:num>
  <w:num w:numId="61">
    <w:abstractNumId w:val="2"/>
    <w:lvlOverride w:ilvl="0"/>
  </w:num>
  <w:num w:numId="62">
    <w:abstractNumId w:val="38"/>
    <w:lvlOverride w:ilv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C17C2"/>
    <w:rsid w:val="003C17C2"/>
    <w:rsid w:val="00C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53F28-5BDA-4960-A624-FDA7F503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jc w:val="both"/>
      <w:outlineLvl w:val="0"/>
    </w:pPr>
    <w:rPr>
      <w:b/>
      <w:bCs/>
    </w:rPr>
  </w:style>
  <w:style w:type="paragraph" w:styleId="Nagwek2">
    <w:name w:val="heading 2"/>
    <w:basedOn w:val="Standard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Standard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Standard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Nagwek5">
    <w:name w:val="heading 5"/>
    <w:basedOn w:val="Standard"/>
    <w:pPr>
      <w:keepNext/>
      <w:outlineLvl w:val="4"/>
    </w:pPr>
    <w:rPr>
      <w:b/>
      <w:sz w:val="28"/>
      <w:szCs w:val="20"/>
    </w:rPr>
  </w:style>
  <w:style w:type="paragraph" w:styleId="Nagwek6">
    <w:name w:val="heading 6"/>
    <w:basedOn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opkaCopyright">
    <w:name w:val="Stopka Copyright"/>
    <w:basedOn w:val="Standard"/>
    <w:pPr>
      <w:jc w:val="both"/>
    </w:pPr>
    <w:rPr>
      <w:rFonts w:ascii="Roboto" w:eastAsia="Calibri" w:hAnsi="Roboto" w:cs="Roboto"/>
      <w:iCs/>
      <w:color w:val="000000"/>
      <w:sz w:val="16"/>
      <w:szCs w:val="18"/>
      <w:lang w:eastAsia="en-US"/>
    </w:rPr>
  </w:style>
  <w:style w:type="paragraph" w:customStyle="1" w:styleId="StronaTytuowaCopyright">
    <w:name w:val="Strona Tytułowa Copyright"/>
    <w:basedOn w:val="Standard"/>
    <w:pPr>
      <w:spacing w:line="276" w:lineRule="auto"/>
      <w:jc w:val="center"/>
    </w:pPr>
    <w:rPr>
      <w:rFonts w:ascii="Roboto Light" w:eastAsia="Calibri" w:hAnsi="Roboto Light" w:cs="Roboto Light"/>
      <w:iCs/>
      <w:color w:val="000000"/>
      <w:sz w:val="20"/>
      <w:szCs w:val="20"/>
      <w:lang w:eastAsia="en-US"/>
    </w:rPr>
  </w:style>
  <w:style w:type="paragraph" w:customStyle="1" w:styleId="StronaTytuowaTytu">
    <w:name w:val="Strona Tytułowa Tytuł"/>
    <w:pPr>
      <w:jc w:val="center"/>
    </w:pPr>
    <w:rPr>
      <w:rFonts w:ascii="Roboto" w:eastAsia="Calibri" w:hAnsi="Roboto" w:cs="Roboto"/>
      <w:sz w:val="64"/>
      <w:lang w:eastAsia="en-US"/>
    </w:rPr>
  </w:style>
  <w:style w:type="paragraph" w:customStyle="1" w:styleId="StronaTytuowaAutorzy">
    <w:name w:val="Strona Tytułowa Autorzy"/>
    <w:pPr>
      <w:jc w:val="center"/>
    </w:pPr>
    <w:rPr>
      <w:rFonts w:ascii="Roboto Light" w:eastAsia="Calibri" w:hAnsi="Roboto Light" w:cs="Roboto Light"/>
      <w:color w:val="000000"/>
      <w:sz w:val="32"/>
      <w:szCs w:val="32"/>
      <w:lang w:eastAsia="en-US"/>
    </w:rPr>
  </w:style>
  <w:style w:type="paragraph" w:customStyle="1" w:styleId="PodtytulArial14">
    <w:name w:val="Podtytul Arial 14"/>
    <w:basedOn w:val="TytulArial20"/>
    <w:pPr>
      <w:spacing w:before="0"/>
    </w:pPr>
    <w:rPr>
      <w:sz w:val="28"/>
      <w:szCs w:val="28"/>
    </w:rPr>
  </w:style>
  <w:style w:type="paragraph" w:customStyle="1" w:styleId="TytulArial20">
    <w:name w:val="Tytul Arial 20"/>
    <w:basedOn w:val="Nagwek2"/>
    <w:pPr>
      <w:spacing w:line="276" w:lineRule="auto"/>
    </w:pPr>
    <w:rPr>
      <w:rFonts w:ascii="Arial" w:eastAsia="Arial" w:hAnsi="Arial" w:cs="Arial"/>
      <w:color w:val="92D050"/>
      <w:sz w:val="40"/>
      <w:szCs w:val="40"/>
      <w:lang w:eastAsia="en-US"/>
    </w:rPr>
  </w:style>
  <w:style w:type="paragraph" w:styleId="Poprawka">
    <w:name w:val="Revision"/>
  </w:style>
  <w:style w:type="paragraph" w:styleId="Tematkomentarza">
    <w:name w:val="annotation subject"/>
    <w:basedOn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Podtytu">
    <w:name w:val="Subtitle"/>
    <w:basedOn w:val="Standard"/>
    <w:rPr>
      <w:rFonts w:ascii="Cambria" w:eastAsia="Cambria" w:hAnsi="Cambria" w:cs="Cambria"/>
      <w:i/>
      <w:iCs/>
      <w:color w:val="4F81BD"/>
      <w:spacing w:val="15"/>
    </w:rPr>
  </w:style>
  <w:style w:type="paragraph" w:styleId="Listapunktowana2">
    <w:name w:val="List Bullet 2"/>
    <w:basedOn w:val="Standard"/>
    <w:pPr>
      <w:tabs>
        <w:tab w:val="left" w:pos="1286"/>
        <w:tab w:val="left" w:pos="1363"/>
      </w:tabs>
      <w:ind w:left="643" w:hanging="360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ascii="Arial" w:eastAsia="Arial" w:hAnsi="Arial"/>
      <w:sz w:val="20"/>
      <w:szCs w:val="20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ytu">
    <w:name w:val="Title"/>
    <w:basedOn w:val="Standard"/>
    <w:pPr>
      <w:jc w:val="center"/>
    </w:pPr>
    <w:rPr>
      <w:szCs w:val="20"/>
    </w:rPr>
  </w:style>
  <w:style w:type="paragraph" w:customStyle="1" w:styleId="Kolorowalistaakcent11">
    <w:name w:val="Kolorowa lista — akcent 11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23">
    <w:name w:val="ListLabel 23"/>
    <w:rPr>
      <w:rFonts w:eastAsia="Times New Roman"/>
    </w:rPr>
  </w:style>
  <w:style w:type="character" w:customStyle="1" w:styleId="ListLabel22">
    <w:name w:val="ListLabel 22"/>
    <w:rPr>
      <w:color w:val="00000A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PodtytulArial14Znak">
    <w:name w:val="Podtytul Arial 14 Znak"/>
    <w:basedOn w:val="TytulArial20Znak"/>
    <w:rPr>
      <w:rFonts w:ascii="Arial" w:eastAsia="Arial" w:hAnsi="Arial" w:cs="Arial"/>
      <w:b/>
      <w:bCs/>
      <w:color w:val="92D050"/>
      <w:sz w:val="28"/>
      <w:szCs w:val="28"/>
      <w:lang w:eastAsia="en-US"/>
    </w:rPr>
  </w:style>
  <w:style w:type="character" w:customStyle="1" w:styleId="TytulArial20Znak">
    <w:name w:val="Tytul Arial 20 Znak"/>
    <w:basedOn w:val="Nagwek2Znak"/>
    <w:rPr>
      <w:rFonts w:ascii="Arial" w:eastAsia="Arial" w:hAnsi="Arial" w:cs="Arial"/>
      <w:b/>
      <w:bCs/>
      <w:color w:val="92D050"/>
      <w:sz w:val="40"/>
      <w:szCs w:val="40"/>
      <w:lang w:eastAsia="en-US"/>
    </w:rPr>
  </w:style>
  <w:style w:type="character" w:customStyle="1" w:styleId="TematkomentarzaZnak">
    <w:name w:val="Temat komentarza Znak"/>
    <w:basedOn w:val="TekstkomentarzaZnak"/>
    <w:rPr>
      <w:rFonts w:cs="Times New Roman"/>
      <w:b/>
      <w:bCs/>
    </w:rPr>
  </w:style>
  <w:style w:type="character" w:customStyle="1" w:styleId="TekstkomentarzaZnak">
    <w:name w:val="Tekst komentarza Znak"/>
    <w:basedOn w:val="Domylnaczcionkaakapitu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PodtytuZnak">
    <w:name w:val="Podtytuł Znak"/>
    <w:basedOn w:val="Domylnaczcionkaakapitu"/>
    <w:rPr>
      <w:rFonts w:ascii="Cambria" w:eastAsia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rPr>
      <w:rFonts w:cs="Times New Roman"/>
      <w:sz w:val="24"/>
      <w:szCs w:val="24"/>
    </w:rPr>
  </w:style>
  <w:style w:type="character" w:styleId="Numerstrony">
    <w:name w:val="page number"/>
    <w:basedOn w:val="Domylnaczcionkaakapitu"/>
    <w:rPr>
      <w:rFonts w:cs="Times New Roman"/>
    </w:rPr>
  </w:style>
  <w:style w:type="character" w:customStyle="1" w:styleId="TekstpodstawowyZnak">
    <w:name w:val="Tekst podstawowy Znak"/>
    <w:basedOn w:val="Domylnaczcionkaakapitu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  <w:szCs w:val="24"/>
    </w:rPr>
  </w:style>
  <w:style w:type="character" w:customStyle="1" w:styleId="NagwekZnak">
    <w:name w:val="Nagłówek Znak"/>
    <w:basedOn w:val="Domylnaczcionkaakapitu"/>
    <w:rPr>
      <w:rFonts w:cs="Times New Roman"/>
    </w:rPr>
  </w:style>
  <w:style w:type="character" w:customStyle="1" w:styleId="TytuZnak">
    <w:name w:val="Tytuł Znak"/>
    <w:basedOn w:val="Domylnaczcionkaakapitu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Nagwek6Znak">
    <w:name w:val="Nagłówek 6 Znak"/>
    <w:basedOn w:val="Domylnaczcionkaakapitu"/>
    <w:rPr>
      <w:rFonts w:ascii="Calibri" w:eastAsia="Calibri" w:hAnsi="Calibri" w:cs="Times New Roman"/>
      <w:b/>
      <w:bCs/>
    </w:rPr>
  </w:style>
  <w:style w:type="character" w:customStyle="1" w:styleId="Nagwek5Znak">
    <w:name w:val="Nagłówek 5 Znak"/>
    <w:basedOn w:val="Domylnaczcionkaakapitu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gwek4Znak">
    <w:name w:val="Nagłówek 4 Znak"/>
    <w:basedOn w:val="Domylnaczcionkaakapitu"/>
    <w:rPr>
      <w:rFonts w:ascii="Cambria" w:eastAsia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3Znak">
    <w:name w:val="Nagłówek 3 Znak"/>
    <w:basedOn w:val="Domylnaczcionkaakapitu"/>
    <w:rPr>
      <w:rFonts w:ascii="Cambria" w:eastAsia="Cambria" w:hAnsi="Cambria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rPr>
      <w:rFonts w:ascii="Cambria" w:eastAsia="Cambria" w:hAnsi="Cambria" w:cs="Times New Roman"/>
      <w:b/>
      <w:bCs/>
      <w:color w:val="4F81BD"/>
      <w:sz w:val="26"/>
      <w:szCs w:val="26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numbering" w:customStyle="1" w:styleId="WWNum49">
    <w:name w:val="WWNum49"/>
    <w:basedOn w:val="Bezlisty"/>
    <w:pPr>
      <w:numPr>
        <w:numId w:val="50"/>
      </w:numPr>
    </w:pPr>
  </w:style>
  <w:style w:type="numbering" w:customStyle="1" w:styleId="WWNum50">
    <w:name w:val="WWNum50"/>
    <w:basedOn w:val="Bezlisty"/>
    <w:pPr>
      <w:numPr>
        <w:numId w:val="51"/>
      </w:numPr>
    </w:pPr>
  </w:style>
  <w:style w:type="numbering" w:customStyle="1" w:styleId="WWNum51">
    <w:name w:val="WWNum51"/>
    <w:basedOn w:val="Bezlisty"/>
    <w:pPr>
      <w:numPr>
        <w:numId w:val="52"/>
      </w:numPr>
    </w:pPr>
  </w:style>
  <w:style w:type="numbering" w:customStyle="1" w:styleId="WWNum52">
    <w:name w:val="WWNum52"/>
    <w:basedOn w:val="Bezlisty"/>
    <w:pPr>
      <w:numPr>
        <w:numId w:val="53"/>
      </w:numPr>
    </w:pPr>
  </w:style>
  <w:style w:type="numbering" w:customStyle="1" w:styleId="WWNum53">
    <w:name w:val="WWNum53"/>
    <w:basedOn w:val="Bezlisty"/>
    <w:pPr>
      <w:numPr>
        <w:numId w:val="54"/>
      </w:numPr>
    </w:pPr>
  </w:style>
  <w:style w:type="numbering" w:customStyle="1" w:styleId="WWNum54">
    <w:name w:val="WWNum54"/>
    <w:basedOn w:val="Bezlisty"/>
    <w:pPr>
      <w:numPr>
        <w:numId w:val="55"/>
      </w:numPr>
    </w:pPr>
  </w:style>
  <w:style w:type="numbering" w:customStyle="1" w:styleId="WWNum55">
    <w:name w:val="WWNum55"/>
    <w:basedOn w:val="Bezlisty"/>
    <w:pPr>
      <w:numPr>
        <w:numId w:val="56"/>
      </w:numPr>
    </w:pPr>
  </w:style>
  <w:style w:type="numbering" w:customStyle="1" w:styleId="WWNum56">
    <w:name w:val="WWNum56"/>
    <w:basedOn w:val="Bezlisty"/>
    <w:pPr>
      <w:numPr>
        <w:numId w:val="57"/>
      </w:numPr>
    </w:pPr>
  </w:style>
  <w:style w:type="numbering" w:customStyle="1" w:styleId="WWNum57">
    <w:name w:val="WWNum57"/>
    <w:basedOn w:val="Bezlisty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1809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2025-08-31T10:22:00Z</dcterms:created>
  <dcterms:modified xsi:type="dcterms:W3CDTF">2025-08-31T10:22:00Z</dcterms:modified>
</cp:coreProperties>
</file>