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32" w:rsidRDefault="00D6627B">
      <w:pPr>
        <w:pStyle w:val="Standard"/>
        <w:spacing w:line="120" w:lineRule="atLeast"/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Przedmiotowy</w:t>
      </w:r>
      <w:r>
        <w:rPr>
          <w:sz w:val="40"/>
          <w:szCs w:val="40"/>
        </w:rPr>
        <w:t xml:space="preserve"> systemu oceniania </w:t>
      </w:r>
      <w:r>
        <w:rPr>
          <w:sz w:val="40"/>
          <w:szCs w:val="40"/>
        </w:rPr>
        <w:br/>
      </w:r>
      <w:r>
        <w:rPr>
          <w:sz w:val="40"/>
          <w:szCs w:val="40"/>
        </w:rPr>
        <w:t>wraz z określeniem wymagań edukacyjnych</w:t>
      </w:r>
    </w:p>
    <w:p w:rsidR="00050832" w:rsidRDefault="00D6627B">
      <w:pPr>
        <w:pStyle w:val="StronaTytuowaTytu"/>
        <w:spacing w:line="120" w:lineRule="atLeast"/>
      </w:pPr>
      <w:r>
        <w:t>MATeMAtyka</w:t>
      </w:r>
    </w:p>
    <w:p w:rsidR="00050832" w:rsidRDefault="00D6627B">
      <w:pPr>
        <w:pStyle w:val="StronaTytuowaTytu"/>
        <w:spacing w:line="120" w:lineRule="atLeast"/>
        <w:rPr>
          <w:sz w:val="44"/>
          <w:szCs w:val="44"/>
        </w:rPr>
      </w:pPr>
      <w:r>
        <w:rPr>
          <w:sz w:val="44"/>
          <w:szCs w:val="44"/>
        </w:rPr>
        <w:t>Zakres podstawowy</w:t>
      </w: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050832">
      <w:pPr>
        <w:pStyle w:val="Standard"/>
        <w:rPr>
          <w:rFonts w:hint="eastAsia"/>
        </w:rPr>
      </w:pPr>
    </w:p>
    <w:p w:rsidR="00050832" w:rsidRDefault="00D6627B">
      <w:pPr>
        <w:pStyle w:val="Textbodyindent"/>
        <w:pageBreakBefore/>
        <w:spacing w:line="120" w:lineRule="atLeast"/>
        <w:ind w:left="0"/>
        <w:jc w:val="both"/>
        <w:rPr>
          <w:rFonts w:hint="eastAsia"/>
        </w:rPr>
      </w:pPr>
      <w:r>
        <w:rPr>
          <w:rFonts w:ascii="Cambria" w:eastAsia="Calibri" w:hAnsi="Cambria"/>
          <w:iCs/>
          <w:sz w:val="22"/>
          <w:szCs w:val="22"/>
          <w:lang w:eastAsia="en-US"/>
        </w:rPr>
        <w:lastRenderedPageBreak/>
        <w:t>Wyróżnione zostały następujące wymagania programowe: konieczne (K), podstawowe (P), rozszerzające (R), dopełniające (D) i wykraczające</w:t>
      </w:r>
      <w:r>
        <w:rPr>
          <w:rFonts w:ascii="Cambria" w:eastAsia="Calibri" w:hAnsi="Cambria"/>
          <w:iCs/>
          <w:sz w:val="22"/>
          <w:szCs w:val="22"/>
          <w:lang w:eastAsia="en-US"/>
        </w:rPr>
        <w:t xml:space="preserve"> (W). Wymienione poziomy wymagań odpowiadają w przybliżeniu ocenom szkolnym. Nauczyciel, określając te poziomy, powinien zatem sprecyzować, czy opanowania pewnych czynności lub wiedzy będzie wymagał na ocenę dopuszczającą (2), dostateczną (3), dobrą (4), b</w:t>
      </w:r>
      <w:r>
        <w:rPr>
          <w:rFonts w:ascii="Cambria" w:eastAsia="Calibri" w:hAnsi="Cambria"/>
          <w:iCs/>
          <w:sz w:val="22"/>
          <w:szCs w:val="22"/>
          <w:lang w:eastAsia="en-US"/>
        </w:rPr>
        <w:t>ardzo dobrą (5) lub celującą (6).</w:t>
      </w:r>
    </w:p>
    <w:p w:rsidR="00050832" w:rsidRDefault="00050832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050832" w:rsidRDefault="00D6627B">
      <w:pPr>
        <w:pStyle w:val="Standard"/>
        <w:numPr>
          <w:ilvl w:val="0"/>
          <w:numId w:val="59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konieczne (K)</w:t>
      </w:r>
      <w:r>
        <w:rPr>
          <w:rFonts w:ascii="Cambria" w:hAnsi="Cambria"/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050832" w:rsidRDefault="00D6627B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podstawowe (P)</w:t>
      </w:r>
      <w:r>
        <w:rPr>
          <w:rFonts w:ascii="Cambria" w:hAnsi="Cambria"/>
          <w:sz w:val="22"/>
          <w:szCs w:val="22"/>
        </w:rPr>
        <w:t xml:space="preserve"> zawierają wymagania z poziomu (K) wzbogacone 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o typo</w:t>
      </w:r>
      <w:r>
        <w:rPr>
          <w:rFonts w:ascii="Cambria" w:hAnsi="Cambria"/>
          <w:sz w:val="22"/>
          <w:szCs w:val="22"/>
        </w:rPr>
        <w:t>we problemy o niewielkim stopniu trudności.</w:t>
      </w:r>
    </w:p>
    <w:p w:rsidR="00050832" w:rsidRDefault="00D6627B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rozszerzające (R)</w:t>
      </w:r>
      <w:r>
        <w:rPr>
          <w:rFonts w:ascii="Cambria" w:hAnsi="Cambria"/>
          <w:sz w:val="22"/>
          <w:szCs w:val="22"/>
        </w:rPr>
        <w:t>, zawierające wymagania z poziomów (K) i (P), dotyczą zagadnień bardziej złożonych i nieco trudniejszych.</w:t>
      </w:r>
    </w:p>
    <w:p w:rsidR="00050832" w:rsidRDefault="00D6627B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dopełniające (D)</w:t>
      </w:r>
      <w:r>
        <w:rPr>
          <w:rFonts w:ascii="Cambria" w:hAnsi="Cambria"/>
          <w:sz w:val="22"/>
          <w:szCs w:val="22"/>
        </w:rPr>
        <w:t>, zawierające wymagania z poziomów (K), (P) i (R), do</w:t>
      </w:r>
      <w:r>
        <w:rPr>
          <w:rFonts w:ascii="Cambria" w:hAnsi="Cambria"/>
          <w:sz w:val="22"/>
          <w:szCs w:val="22"/>
        </w:rPr>
        <w:t>tyczą zagadnień problemowych, trudniejszych, wymagających umiejętności przetwarzania przyswojonych informacji.</w:t>
      </w:r>
    </w:p>
    <w:p w:rsidR="00050832" w:rsidRDefault="00D6627B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wykraczające (W)</w:t>
      </w:r>
      <w:r>
        <w:rPr>
          <w:rFonts w:ascii="Cambria" w:hAnsi="Cambria"/>
          <w:sz w:val="22"/>
          <w:szCs w:val="22"/>
        </w:rPr>
        <w:t xml:space="preserve"> dotyczą zagadnień trudnych i oryginalnych.</w:t>
      </w:r>
    </w:p>
    <w:p w:rsidR="00050832" w:rsidRDefault="00050832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050832" w:rsidRDefault="00D6627B">
      <w:pPr>
        <w:pStyle w:val="Standard"/>
        <w:spacing w:after="120" w:line="1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Poniżej przedstawiony został podział wymagań na poszczególne oceny </w:t>
      </w:r>
      <w:r>
        <w:rPr>
          <w:rFonts w:ascii="Cambria" w:hAnsi="Cambria"/>
          <w:sz w:val="22"/>
          <w:szCs w:val="22"/>
        </w:rPr>
        <w:t>szkolne:</w:t>
      </w:r>
    </w:p>
    <w:p w:rsidR="00050832" w:rsidRDefault="00D6627B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dopuszczająca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</w:t>
      </w:r>
    </w:p>
    <w:p w:rsidR="00050832" w:rsidRDefault="00D6627B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dostateczna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 i (P)</w:t>
      </w:r>
    </w:p>
    <w:p w:rsidR="00050832" w:rsidRDefault="00D6627B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 i (R)</w:t>
      </w:r>
    </w:p>
    <w:p w:rsidR="00050832" w:rsidRDefault="00D6627B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bardzo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(P), (R) i (D)</w:t>
      </w:r>
    </w:p>
    <w:p w:rsidR="00050832" w:rsidRDefault="00D6627B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celująca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</w:t>
      </w:r>
      <w:r>
        <w:rPr>
          <w:rFonts w:ascii="Cambria" w:hAnsi="Cambria"/>
          <w:sz w:val="22"/>
          <w:szCs w:val="22"/>
        </w:rPr>
        <w:t>a poziomie (K), (P), (R), (D) i (W)</w:t>
      </w:r>
    </w:p>
    <w:p w:rsidR="00050832" w:rsidRDefault="00050832">
      <w:pPr>
        <w:pStyle w:val="Standard"/>
        <w:spacing w:line="120" w:lineRule="atLeast"/>
        <w:ind w:left="360"/>
        <w:jc w:val="both"/>
        <w:rPr>
          <w:rFonts w:ascii="Cambria" w:hAnsi="Cambria"/>
          <w:b/>
          <w:sz w:val="22"/>
          <w:szCs w:val="22"/>
        </w:rPr>
      </w:pPr>
    </w:p>
    <w:p w:rsidR="00050832" w:rsidRDefault="00050832">
      <w:pPr>
        <w:pStyle w:val="Nagwek1"/>
        <w:spacing w:line="120" w:lineRule="atLeast"/>
        <w:rPr>
          <w:rFonts w:ascii="Cambria" w:hAnsi="Cambria"/>
          <w:szCs w:val="22"/>
        </w:rPr>
      </w:pPr>
    </w:p>
    <w:p w:rsidR="00050832" w:rsidRDefault="00D6627B">
      <w:pPr>
        <w:pStyle w:val="Standard"/>
        <w:spacing w:line="120" w:lineRule="atLeast"/>
        <w:jc w:val="both"/>
        <w:rPr>
          <w:rFonts w:ascii="Cambria" w:hAnsi="Cambria"/>
          <w:color w:val="0066B3"/>
          <w:sz w:val="22"/>
          <w:szCs w:val="22"/>
        </w:rPr>
      </w:pPr>
      <w:r>
        <w:rPr>
          <w:rFonts w:ascii="Cambria" w:hAnsi="Cambria"/>
          <w:color w:val="0066B3"/>
          <w:sz w:val="22"/>
          <w:szCs w:val="22"/>
        </w:rPr>
        <w:t>KLASA II</w:t>
      </w:r>
    </w:p>
    <w:p w:rsidR="00050832" w:rsidRDefault="00050832">
      <w:pPr>
        <w:pStyle w:val="Standard"/>
        <w:spacing w:line="120" w:lineRule="atLeast"/>
        <w:jc w:val="both"/>
        <w:rPr>
          <w:rFonts w:ascii="Cambria" w:hAnsi="Cambria"/>
          <w:color w:val="0066B3"/>
          <w:sz w:val="22"/>
          <w:szCs w:val="22"/>
        </w:rPr>
      </w:pPr>
    </w:p>
    <w:p w:rsidR="00050832" w:rsidRDefault="00D6627B">
      <w:pPr>
        <w:pStyle w:val="Nagwek1"/>
        <w:spacing w:line="120" w:lineRule="atLeas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6. PLANIMETRIA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 xml:space="preserve">(K) </w:t>
      </w:r>
      <w:r>
        <w:rPr>
          <w:rFonts w:ascii="Cambria" w:hAnsi="Cambria"/>
          <w:sz w:val="22"/>
          <w:szCs w:val="22"/>
        </w:rPr>
        <w:t>lub</w:t>
      </w:r>
      <w:r>
        <w:rPr>
          <w:rFonts w:ascii="Cambria" w:hAnsi="Cambria"/>
          <w:b/>
          <w:bCs/>
          <w:sz w:val="22"/>
          <w:szCs w:val="22"/>
        </w:rPr>
        <w:t xml:space="preserve"> (P)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 xml:space="preserve">dopuszczającą </w:t>
      </w:r>
      <w:r>
        <w:rPr>
          <w:rFonts w:ascii="Cambria" w:hAnsi="Cambria"/>
          <w:sz w:val="22"/>
          <w:szCs w:val="22"/>
        </w:rPr>
        <w:t xml:space="preserve">lub </w:t>
      </w:r>
      <w:r>
        <w:rPr>
          <w:rFonts w:ascii="Cambria" w:hAnsi="Cambria"/>
          <w:b/>
          <w:bCs/>
          <w:sz w:val="22"/>
          <w:szCs w:val="22"/>
        </w:rPr>
        <w:t>dostateczną</w:t>
      </w:r>
      <w:r>
        <w:rPr>
          <w:rFonts w:ascii="Cambria" w:hAnsi="Cambria"/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rozróżnia trójkąty: ostrokątne, prostokątne, rozwartokątne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twierdzenie o sumie miar kątów w trójkącie w prostych przypadkach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sprawdza, czy z trzech odcinków o danych długościach </w:t>
            </w:r>
            <w:r>
              <w:rPr>
                <w:rFonts w:ascii="Cambria" w:hAnsi="Cambria"/>
                <w:sz w:val="22"/>
                <w:szCs w:val="22"/>
              </w:rPr>
              <w:t>można zbudować trójkąt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udowadnia przystawanie trójkątów, wykorzystując cechy przystawania </w:t>
            </w:r>
            <w:r>
              <w:rPr>
                <w:rFonts w:ascii="Cambria" w:hAnsi="Cambria"/>
                <w:bCs/>
                <w:sz w:val="22"/>
                <w:szCs w:val="22"/>
              </w:rPr>
              <w:t>(proste przypadki)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wykorzystuje cechy przystawania trójkątów do rozwiązywania prostych zadań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udowadnia podobieństwo trójkątów, wykorzystując cechy podobieństwa </w:t>
            </w:r>
            <w:r>
              <w:rPr>
                <w:rFonts w:ascii="Cambria" w:hAnsi="Cambria"/>
                <w:bCs/>
                <w:sz w:val="22"/>
                <w:szCs w:val="22"/>
              </w:rPr>
              <w:t>(pr</w:t>
            </w:r>
            <w:r>
              <w:rPr>
                <w:rFonts w:ascii="Cambria" w:hAnsi="Cambria"/>
                <w:bCs/>
                <w:sz w:val="22"/>
                <w:szCs w:val="22"/>
              </w:rPr>
              <w:t>oste przypadki)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zapisuje proporcje boków w trójkątach podobnych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wykorzystuje podobieństwo trójkątów do rozwiązywania elementarnych zadań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sprawdza, czy dane figury są podobne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długości boków figur podobnych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w prostych zadaniach twierdzen</w:t>
            </w:r>
            <w:r>
              <w:rPr>
                <w:rFonts w:ascii="Cambria" w:hAnsi="Cambria"/>
                <w:sz w:val="22"/>
                <w:szCs w:val="22"/>
              </w:rPr>
              <w:t>ie o stosunku pól figur podobnych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wskazuje w wielokątach odcinki proporcjonalne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proste zadania, wykorzystując twierdzenie Talesa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udowadnia równoległość prostych, stosując twierdzenie odwrotne do twierdzenia Talesa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stosuje twierdzenie o </w:t>
            </w:r>
            <w:r>
              <w:rPr>
                <w:rFonts w:ascii="Cambria" w:hAnsi="Cambria"/>
                <w:sz w:val="22"/>
                <w:szCs w:val="22"/>
              </w:rPr>
              <w:t>dwusiecznej kąta w trójkącie w prostych przypadkach</w:t>
            </w:r>
          </w:p>
        </w:tc>
      </w:tr>
    </w:tbl>
    <w:p w:rsidR="00050832" w:rsidRDefault="00050832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>(R)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(D)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dobrą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bardzo dobrą</w:t>
      </w:r>
      <w:r>
        <w:rPr>
          <w:rFonts w:ascii="Cambria" w:hAnsi="Cambria"/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przeprowadza dowód twierdzenia o sumie miar kątów w trójkącie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sumę miar kątów danego wielokąta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liczbę boków wielokąta, jeśli ma daną sumę miar jego kątów wewnętrznych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s</w:t>
            </w:r>
            <w:r>
              <w:rPr>
                <w:rFonts w:ascii="Cambria" w:hAnsi="Cambria"/>
                <w:sz w:val="22"/>
                <w:szCs w:val="22"/>
              </w:rPr>
              <w:t>tosuje cechy przystawania trójkątów do rozwiązywania trudniejszych zadań geometrycznych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wykorzystuje podobieństwo trójkątów do rozwiązywania praktycznych problemów i trudniejszych zadań geometrycznych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 dotyczące podobieństwa wielokątów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zadania, wykorzystując twierdzenie Talesa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twierdzenie o dwusiecznej kąta w trójkącie do rozwiązywania zadań</w:t>
            </w:r>
          </w:p>
        </w:tc>
      </w:tr>
    </w:tbl>
    <w:p w:rsidR="00050832" w:rsidRDefault="00050832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>Poziom</w:t>
      </w:r>
      <w:r>
        <w:rPr>
          <w:rFonts w:ascii="Cambria" w:hAnsi="Cambria"/>
          <w:b/>
          <w:bCs/>
          <w:sz w:val="22"/>
          <w:szCs w:val="22"/>
        </w:rPr>
        <w:t xml:space="preserve"> (W)</w:t>
      </w:r>
    </w:p>
    <w:p w:rsidR="00050832" w:rsidRDefault="00D6627B">
      <w:pPr>
        <w:pStyle w:val="Textbody"/>
        <w:spacing w:line="120" w:lineRule="atLeast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celującą</w:t>
      </w:r>
      <w:r>
        <w:rPr>
          <w:rFonts w:ascii="Cambria" w:hAnsi="Cambria"/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przeprowadza dowód t</w:t>
            </w:r>
            <w:r>
              <w:rPr>
                <w:rFonts w:ascii="Cambria" w:hAnsi="Cambria"/>
                <w:sz w:val="22"/>
                <w:szCs w:val="22"/>
              </w:rPr>
              <w:t>wierdzenia Talesa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 wymagające uzasadnienia i dowodzenia z zastosowaniem twierdzenia Talesa oraz twierdzenia odwrotnego do twierdzenia Talesa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twierdzenie o dwusiecznej kąta w trójkącie w zadaniach wymagających przeprowadzenia dow</w:t>
            </w:r>
            <w:r>
              <w:rPr>
                <w:rFonts w:ascii="Cambria" w:hAnsi="Cambria"/>
                <w:sz w:val="22"/>
                <w:szCs w:val="22"/>
              </w:rPr>
              <w:t>odu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 o znacznym stopniu trudności dotyczące przystawania i podobieństwa figur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przeprowadza dowód twierdzenia o dwusiecznej kąta w trójkącie</w:t>
            </w:r>
          </w:p>
        </w:tc>
      </w:tr>
    </w:tbl>
    <w:p w:rsidR="00050832" w:rsidRDefault="00050832">
      <w:pPr>
        <w:pStyle w:val="Standard"/>
        <w:spacing w:line="120" w:lineRule="atLeast"/>
        <w:jc w:val="both"/>
        <w:rPr>
          <w:rFonts w:ascii="Cambria" w:hAnsi="Cambria"/>
          <w:b/>
          <w:sz w:val="22"/>
          <w:szCs w:val="22"/>
        </w:rPr>
      </w:pPr>
    </w:p>
    <w:p w:rsidR="00050832" w:rsidRDefault="00050832">
      <w:pPr>
        <w:pStyle w:val="Standard"/>
        <w:spacing w:line="120" w:lineRule="atLeast"/>
        <w:jc w:val="both"/>
        <w:rPr>
          <w:rFonts w:ascii="Cambria" w:hAnsi="Cambria"/>
          <w:b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b/>
        </w:rPr>
        <w:t xml:space="preserve">7. WSTĘP DO </w:t>
      </w:r>
      <w:r>
        <w:rPr>
          <w:rFonts w:ascii="Cambria" w:hAnsi="Cambria"/>
          <w:b/>
          <w:bCs/>
        </w:rPr>
        <w:t>FUNKCJI KWADRATOWEJ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 xml:space="preserve">(K) </w:t>
      </w:r>
      <w:r>
        <w:rPr>
          <w:rFonts w:ascii="Cambria" w:hAnsi="Cambria"/>
          <w:sz w:val="22"/>
          <w:szCs w:val="22"/>
        </w:rPr>
        <w:t>lub</w:t>
      </w:r>
      <w:r>
        <w:rPr>
          <w:rFonts w:ascii="Cambria" w:hAnsi="Cambria"/>
          <w:b/>
          <w:bCs/>
          <w:sz w:val="22"/>
          <w:szCs w:val="22"/>
        </w:rPr>
        <w:t xml:space="preserve"> (P)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 xml:space="preserve">dopuszczającą </w:t>
      </w:r>
      <w:r>
        <w:rPr>
          <w:rFonts w:ascii="Cambria" w:hAnsi="Cambria"/>
          <w:sz w:val="22"/>
          <w:szCs w:val="22"/>
        </w:rPr>
        <w:t xml:space="preserve">lub </w:t>
      </w:r>
      <w:r>
        <w:rPr>
          <w:rFonts w:ascii="Cambria" w:hAnsi="Cambria"/>
          <w:b/>
          <w:bCs/>
          <w:sz w:val="22"/>
          <w:szCs w:val="22"/>
        </w:rPr>
        <w:t>dostateczną</w:t>
      </w:r>
      <w:r>
        <w:rPr>
          <w:rFonts w:ascii="Cambria" w:hAnsi="Cambria"/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1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m:t>ax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ascii="Cambria" w:hAnsi="Cambria"/>
                <w:position w:val="-1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 podaje jej własności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sprawdza algebraicznie, czy</w:t>
            </w:r>
            <w:r>
              <w:rPr>
                <w:rFonts w:ascii="Cambria" w:hAnsi="Cambria"/>
                <w:sz w:val="22"/>
                <w:szCs w:val="22"/>
              </w:rPr>
              <w:t xml:space="preserve"> dany punkt należy do wykresu danej funkcji kwadratowej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szkicuje wykres funkcji kwadratowej w postaci kanonicznej i podaje jej własności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ustala wzór funkcji kwadratowej w postaci kanonicznej na podstawie informacji o przesunięciach wykresu funkcji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m:t>ax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przekształca wzór funkcji kwadratowej z postaci kanonicznej do postaci ogólnej i odwrotnie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wyróżnik trójmianu kwadratowego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współrzędne wierzchołka paraboli, podaje równanie jej osi symetrii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ustala wzór funkcji kwadratowej w postaci kanon</w:t>
            </w:r>
            <w:r>
              <w:rPr>
                <w:rFonts w:ascii="Cambria" w:hAnsi="Cambria"/>
                <w:sz w:val="22"/>
                <w:szCs w:val="22"/>
              </w:rPr>
              <w:t>icznej, jeśli ma dane współrzędne wierzchołka i innego punktu jej wykresu</w:t>
            </w:r>
          </w:p>
        </w:tc>
      </w:tr>
    </w:tbl>
    <w:p w:rsidR="00050832" w:rsidRDefault="00050832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>(R)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(D)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dobrą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bardzo dobrą</w:t>
      </w:r>
      <w:r>
        <w:rPr>
          <w:rFonts w:ascii="Cambria" w:hAnsi="Cambria"/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szkicuje wykres funkcji kwadratowej i podaje jej własności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znajdu</w:t>
            </w:r>
            <w:r>
              <w:rPr>
                <w:rFonts w:ascii="Cambria" w:hAnsi="Cambria"/>
                <w:sz w:val="22"/>
                <w:szCs w:val="22"/>
              </w:rPr>
              <w:t>je współczynniki funkcji kwadratowej, jeśli zna współrzędne punktów należących do jej wykresu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znajduje współczynniki funkcji kwadratowej na podstawie informacji o jej własnościach, np. zbiorze wartości, maksymalnych przedziałach monotoniczności</w:t>
            </w:r>
          </w:p>
        </w:tc>
      </w:tr>
    </w:tbl>
    <w:p w:rsidR="00050832" w:rsidRDefault="00050832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>Poziom</w:t>
      </w:r>
      <w:r>
        <w:rPr>
          <w:rFonts w:ascii="Cambria" w:hAnsi="Cambria"/>
          <w:b/>
          <w:bCs/>
          <w:sz w:val="22"/>
          <w:szCs w:val="22"/>
        </w:rPr>
        <w:t xml:space="preserve"> (W)</w:t>
      </w:r>
    </w:p>
    <w:p w:rsidR="00050832" w:rsidRDefault="00D6627B">
      <w:pPr>
        <w:pStyle w:val="Textbody"/>
        <w:spacing w:line="120" w:lineRule="atLeast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celującą</w:t>
      </w:r>
      <w:r>
        <w:rPr>
          <w:rFonts w:ascii="Cambria" w:hAnsi="Cambria"/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przekształca na ogólnych danych wzór funkcji kwadratowej z postaci ogólnej do postaci kanonicznej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wyprowadza wzory na współrzędne wierzchołka paraboli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10"/>
              </w:numPr>
              <w:spacing w:line="120" w:lineRule="atLeas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roz</w:t>
            </w:r>
            <w:r>
              <w:rPr>
                <w:rFonts w:ascii="Cambria" w:hAnsi="Cambria"/>
                <w:bCs/>
                <w:sz w:val="22"/>
                <w:szCs w:val="22"/>
              </w:rPr>
              <w:t>wiązuje zadania o znacznym stopniu trudności dotyczące funkcji kwadratowej</w:t>
            </w:r>
          </w:p>
        </w:tc>
      </w:tr>
    </w:tbl>
    <w:p w:rsidR="00050832" w:rsidRDefault="00050832">
      <w:pPr>
        <w:pStyle w:val="Nagwek1"/>
        <w:spacing w:line="120" w:lineRule="atLeast"/>
        <w:rPr>
          <w:rFonts w:hint="eastAsia"/>
        </w:rPr>
      </w:pPr>
    </w:p>
    <w:p w:rsidR="00050832" w:rsidRDefault="00050832">
      <w:pPr>
        <w:pStyle w:val="Nagwek1"/>
        <w:spacing w:line="120" w:lineRule="atLeast"/>
        <w:rPr>
          <w:rFonts w:hint="eastAsia"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b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>FUNKCJA KWADRATOWA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sz w:val="22"/>
          <w:szCs w:val="22"/>
        </w:rPr>
        <w:lastRenderedPageBreak/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9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6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szkicuje wykres funkcji 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= ax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≠0</m:t>
              </m:r>
            </m:oMath>
            <w:r>
              <w:rPr>
                <w:sz w:val="22"/>
                <w:szCs w:val="22"/>
              </w:rPr>
              <w:t>, i odczytuje z wykresu jej własności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q</m:t>
              </m:r>
            </m:oMath>
            <w:r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≠0</m:t>
              </m:r>
            </m:oMath>
            <w:r>
              <w:rPr>
                <w:sz w:val="22"/>
                <w:szCs w:val="22"/>
              </w:rPr>
              <w:t>, i odczytuje z wykresu jej własności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podaje wzór funkcji kwadratowej w postaci ogólnej i kanonicznej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oblicza współrzędne wierzchołka paraboli, </w:t>
            </w:r>
            <w:r>
              <w:rPr>
                <w:bCs/>
                <w:sz w:val="22"/>
                <w:szCs w:val="22"/>
              </w:rPr>
              <w:t>wyznacza równ</w:t>
            </w:r>
            <w:r>
              <w:rPr>
                <w:bCs/>
                <w:sz w:val="22"/>
                <w:szCs w:val="22"/>
              </w:rPr>
              <w:t>anie osi symetrii paraboli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przekształca postać kanoniczną funkcji kwadratowej do postaci ogólnej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tabs>
                <w:tab w:val="left" w:pos="1498"/>
              </w:tabs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przekształca postać ogólną funkcji kwadratowej do postaci kanonicznej (z zastosowaniem wzoru na współrzędne wierzchołka paraboli); szkicuje wykres danej funk</w:t>
            </w:r>
            <w:r>
              <w:rPr>
                <w:sz w:val="22"/>
                <w:szCs w:val="22"/>
              </w:rPr>
              <w:t>cji kwadratowej oraz opisuje jej własności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tabs>
                <w:tab w:val="left" w:pos="1498"/>
              </w:tabs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wzór ogólny funkcji kwadratowej, gdy dane są współrzędne wierzchołka i innego punktu jej wykresu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tabs>
                <w:tab w:val="left" w:pos="1498"/>
              </w:tabs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rozwiązuje równanie kwadratowe niepełne metodą wyłączania wspólnego czynnika przed nawias lub stosując </w:t>
            </w:r>
            <w:r>
              <w:rPr>
                <w:sz w:val="22"/>
                <w:szCs w:val="22"/>
              </w:rPr>
              <w:t>wzór skróconego mnożenia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tabs>
                <w:tab w:val="left" w:pos="1498"/>
              </w:tabs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liczbę pierwiastków równania kwadratowego w zależności od znaku wyróżnika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tabs>
                <w:tab w:val="left" w:pos="1498"/>
              </w:tabs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równanie kwadratowe, stosując wzory na pierwiastki w prostych przypadkach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spacing w:line="120" w:lineRule="atLeast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interpretuje geometrycznie rozwiązania równania kwadratowego </w:t>
            </w:r>
            <w:r>
              <w:rPr>
                <w:sz w:val="22"/>
                <w:szCs w:val="22"/>
              </w:rPr>
              <w:t xml:space="preserve">w zależności od współczynnika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i wyróżnika </w:t>
            </w:r>
            <m:oMath>
              <m:r>
                <w:rPr>
                  <w:rFonts w:ascii="Cambria Math" w:hAnsi="Cambria Math"/>
                </w:rPr>
                <m:t>Δ</m:t>
              </m:r>
            </m:oMath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algebraicznie współrzędne punktów przecięcia paraboli z osiami układu współrzędnych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przedstawia trójmian kwadratowy w postaci iloczynowej, jeśli taka postać istnieje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odczytuje miejsca zerowe funkcji </w:t>
            </w:r>
            <w:r>
              <w:rPr>
                <w:sz w:val="22"/>
                <w:szCs w:val="22"/>
              </w:rPr>
              <w:t>kwadratowej z jej postaci iloczynowej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nierówność kwadratową w prostych przypadkach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pojęcie najmniejszej i największej wartości funkcji, wyznacza wartość najmniejszą i największą funkcji kwadratowej w przedziale domkniętym w prostych </w:t>
            </w:r>
            <w:r>
              <w:rPr>
                <w:sz w:val="22"/>
                <w:szCs w:val="22"/>
              </w:rPr>
              <w:t>przypadkach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Akapitzlist"/>
              <w:numPr>
                <w:ilvl w:val="0"/>
                <w:numId w:val="2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analizę zadania tekstowego, a następnie zapisuje odpowiednie równanie, nierówność lub funkcję kwadratową opisujące daną zależność i znajduje w prostych przypadkach rozwiązanie, które spełnia ułożone przez niego warunki</w:t>
            </w:r>
          </w:p>
        </w:tc>
      </w:tr>
    </w:tbl>
    <w:p w:rsidR="00050832" w:rsidRDefault="00050832">
      <w:pPr>
        <w:pStyle w:val="Standard"/>
        <w:spacing w:line="120" w:lineRule="atLeast"/>
        <w:jc w:val="both"/>
        <w:rPr>
          <w:rFonts w:hint="eastAsia"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9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3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równanie kwadratowe i nierówność kwadratową w trudniejszych przypadkach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wykorzystuje postać iloczynową funkcji kwadratowej do </w:t>
            </w:r>
            <w:r>
              <w:rPr>
                <w:sz w:val="22"/>
                <w:szCs w:val="22"/>
              </w:rPr>
              <w:t>rozwiązywania zadań w trudniejszych przypadkach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nierówności kwadratowe do wyznaczania dziedziny funkcji zapisanej za pomocą pierwiastka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wyznacza </w:t>
            </w:r>
            <w:r>
              <w:rPr>
                <w:sz w:val="22"/>
                <w:szCs w:val="22"/>
              </w:rPr>
              <w:t>w trudniejszych przypadkach</w:t>
            </w:r>
            <w:r>
              <w:rPr>
                <w:bCs/>
                <w:sz w:val="22"/>
                <w:szCs w:val="22"/>
              </w:rPr>
              <w:t xml:space="preserve"> najmniejszą i największą wartość funkcji w przedziale domkniętym, korzyst</w:t>
            </w:r>
            <w:r>
              <w:rPr>
                <w:bCs/>
                <w:sz w:val="22"/>
                <w:szCs w:val="22"/>
              </w:rPr>
              <w:t>ając z własności funkcji kwadratowej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równania kwadratowe do rozwiązywania zadań optymalizacyjnych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rozwiązuje zadania tekstowe o podwyższonym stopniu trudności, stosując </w:t>
            </w:r>
            <w:r>
              <w:rPr>
                <w:bCs/>
                <w:sz w:val="22"/>
                <w:szCs w:val="22"/>
              </w:rPr>
              <w:t>równania kwadratowe</w:t>
            </w:r>
          </w:p>
        </w:tc>
      </w:tr>
    </w:tbl>
    <w:p w:rsidR="00050832" w:rsidRDefault="00050832">
      <w:pPr>
        <w:pStyle w:val="Standard"/>
        <w:spacing w:line="120" w:lineRule="atLeast"/>
        <w:jc w:val="both"/>
        <w:rPr>
          <w:rFonts w:hint="eastAsia"/>
        </w:rPr>
      </w:pPr>
    </w:p>
    <w:p w:rsidR="00050832" w:rsidRDefault="00D6627B">
      <w:pPr>
        <w:pStyle w:val="Standard"/>
        <w:spacing w:line="120" w:lineRule="atLeast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050832" w:rsidRDefault="00D6627B">
      <w:pPr>
        <w:pStyle w:val="Textbody"/>
        <w:spacing w:line="120" w:lineRule="atLeast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(K)–(D) oraz:</w:t>
      </w: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9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wyprowadza wzory na pierwiastki trójmianu kwadratowego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 związki między współczynnikami funkcji kwadratowej o podwyższonym stopniu trudności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8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2"/>
              </w:numPr>
              <w:spacing w:line="120" w:lineRule="atLeast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rozwią</w:t>
            </w:r>
            <w:r>
              <w:rPr>
                <w:bCs/>
                <w:sz w:val="22"/>
                <w:szCs w:val="22"/>
              </w:rPr>
              <w:t>zuje zadania o znacznym stopniu trudności dotyczące funkcji kwadratowej</w:t>
            </w:r>
          </w:p>
        </w:tc>
      </w:tr>
    </w:tbl>
    <w:p w:rsidR="00050832" w:rsidRDefault="00050832">
      <w:pPr>
        <w:pStyle w:val="Standard"/>
        <w:rPr>
          <w:rFonts w:hint="eastAsia"/>
          <w:b/>
          <w:bCs/>
          <w:sz w:val="22"/>
          <w:szCs w:val="22"/>
        </w:rPr>
      </w:pPr>
    </w:p>
    <w:p w:rsidR="00050832" w:rsidRDefault="00D6627B"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>9. WIELOMIANY</w:t>
      </w:r>
    </w:p>
    <w:p w:rsidR="00050832" w:rsidRDefault="00D6627B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050832" w:rsidRDefault="00D6627B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4"/>
              </w:numPr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podaje przykład wielomianu, określa jego stopień i podaje wartości jego współczynników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zapisuje wielomian określonego stopnia o danych współczynnikach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zapisuje wielomian w sposób uporządkowany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wartość wielomianu dla danego argumentu; sprawdza, czy dany punkt należy do wykresu danego wielomianu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sumę, różnicę, iloczyn wielo</w:t>
            </w:r>
            <w:r>
              <w:rPr>
                <w:sz w:val="22"/>
                <w:szCs w:val="22"/>
              </w:rPr>
              <w:t>mianów i określa ich stopień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stopień iloczynu wielomianów bez wykonywania mnożenia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podaje współczynnik przy najwyższej potędze oraz wyraz wolny iloczynu wielomianów bez wykonywania mnożenia wielomianów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oblicza wartość wielomianu dwóch (trzech) </w:t>
            </w:r>
            <w:r>
              <w:rPr>
                <w:sz w:val="22"/>
                <w:szCs w:val="22"/>
              </w:rPr>
              <w:t>zmiennych dla danych argumentów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przekształca wyrażenie algebraiczne, stosując wzory skróconego mnożenia dla wielomianów stopnia drugiego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rozkłada w prostych przypadkach wielomian na czynniki, wyłączania wspólnego czynnika poza nawias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rozwiązuje proste </w:t>
            </w:r>
            <w:r>
              <w:rPr>
                <w:sz w:val="22"/>
                <w:szCs w:val="22"/>
              </w:rPr>
              <w:t>równanie wielomianowe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opisuje wielomianem zależności dane w zadaniu i wyznacza jego dziedzinę w prostych przypadkach</w:t>
            </w:r>
          </w:p>
        </w:tc>
      </w:tr>
    </w:tbl>
    <w:p w:rsidR="00050832" w:rsidRDefault="00050832">
      <w:pPr>
        <w:pStyle w:val="Standard"/>
        <w:jc w:val="both"/>
        <w:rPr>
          <w:rFonts w:hint="eastAsia"/>
        </w:rPr>
      </w:pPr>
    </w:p>
    <w:p w:rsidR="00050832" w:rsidRDefault="00D6627B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</w:p>
    <w:p w:rsidR="00050832" w:rsidRDefault="00D6627B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6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współczynniki</w:t>
            </w:r>
            <w:r>
              <w:rPr>
                <w:sz w:val="22"/>
                <w:szCs w:val="22"/>
              </w:rPr>
              <w:t xml:space="preserve"> wielomianu spełniającego dane warunki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wielomiany wielu zmiennych w zadaniach różnych typów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rozkłada wielomian na czynniki możliwie najniższego stopnia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rozkłada wielomian na czynniki w zadaniach różnych typów</w:t>
            </w:r>
          </w:p>
        </w:tc>
      </w:tr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rozwiązuje zadania tekstowe, </w:t>
            </w:r>
            <w:r>
              <w:rPr>
                <w:sz w:val="22"/>
                <w:szCs w:val="22"/>
              </w:rPr>
              <w:t>wykorzystując działania na wielomianach i równania wielomianowe</w:t>
            </w:r>
          </w:p>
        </w:tc>
      </w:tr>
    </w:tbl>
    <w:p w:rsidR="00050832" w:rsidRDefault="00050832">
      <w:pPr>
        <w:pStyle w:val="Standard"/>
        <w:jc w:val="both"/>
        <w:rPr>
          <w:rFonts w:hint="eastAsia"/>
          <w:sz w:val="22"/>
          <w:szCs w:val="22"/>
        </w:rPr>
      </w:pPr>
    </w:p>
    <w:p w:rsidR="00050832" w:rsidRDefault="00D6627B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050832" w:rsidRDefault="00D6627B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50832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50832" w:rsidRDefault="00D6627B">
            <w:pPr>
              <w:pStyle w:val="Textbody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o znacznym stopniu trudności dotyczące wielomianów</w:t>
            </w:r>
          </w:p>
        </w:tc>
      </w:tr>
    </w:tbl>
    <w:p w:rsidR="00050832" w:rsidRDefault="00050832">
      <w:pPr>
        <w:pStyle w:val="Standard"/>
        <w:rPr>
          <w:rFonts w:hint="eastAsia"/>
          <w:sz w:val="22"/>
          <w:szCs w:val="22"/>
        </w:rPr>
      </w:pPr>
    </w:p>
    <w:p w:rsidR="00050832" w:rsidRDefault="00050832">
      <w:pPr>
        <w:pStyle w:val="Standard"/>
        <w:spacing w:line="120" w:lineRule="atLeast"/>
        <w:jc w:val="both"/>
        <w:rPr>
          <w:rFonts w:hint="eastAsia"/>
          <w:sz w:val="22"/>
          <w:szCs w:val="22"/>
        </w:rPr>
      </w:pPr>
    </w:p>
    <w:p w:rsidR="00050832" w:rsidRDefault="00050832">
      <w:pPr>
        <w:pStyle w:val="Textbody"/>
        <w:spacing w:line="120" w:lineRule="atLeast"/>
        <w:jc w:val="both"/>
        <w:rPr>
          <w:rFonts w:hint="eastAsia"/>
          <w:sz w:val="22"/>
          <w:szCs w:val="22"/>
        </w:rPr>
      </w:pPr>
    </w:p>
    <w:sectPr w:rsidR="0005083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627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662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627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662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A51"/>
    <w:multiLevelType w:val="multilevel"/>
    <w:tmpl w:val="446652D0"/>
    <w:styleLink w:val="WWNum3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B6D8D"/>
    <w:multiLevelType w:val="multilevel"/>
    <w:tmpl w:val="27600AB2"/>
    <w:styleLink w:val="WWNum2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" w15:restartNumberingAfterBreak="0">
    <w:nsid w:val="04F138A4"/>
    <w:multiLevelType w:val="multilevel"/>
    <w:tmpl w:val="36722FFE"/>
    <w:styleLink w:val="WWNum4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510DFF"/>
    <w:multiLevelType w:val="multilevel"/>
    <w:tmpl w:val="455C5E96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AD49CC"/>
    <w:multiLevelType w:val="multilevel"/>
    <w:tmpl w:val="D17C1CCC"/>
    <w:styleLink w:val="WW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6B86159"/>
    <w:multiLevelType w:val="multilevel"/>
    <w:tmpl w:val="E0CA63EA"/>
    <w:styleLink w:val="WWNum3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6" w15:restartNumberingAfterBreak="0">
    <w:nsid w:val="081D6541"/>
    <w:multiLevelType w:val="multilevel"/>
    <w:tmpl w:val="7BB2E270"/>
    <w:styleLink w:val="WWNum1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7" w15:restartNumberingAfterBreak="0">
    <w:nsid w:val="0D791C24"/>
    <w:multiLevelType w:val="multilevel"/>
    <w:tmpl w:val="ACB0758E"/>
    <w:styleLink w:val="WWNum56"/>
    <w:lvl w:ilvl="0">
      <w:numFmt w:val="bullet"/>
      <w:lvlText w:val=""/>
      <w:lvlJc w:val="left"/>
      <w:pPr>
        <w:ind w:left="502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79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8" w15:restartNumberingAfterBreak="0">
    <w:nsid w:val="0DB759F7"/>
    <w:multiLevelType w:val="multilevel"/>
    <w:tmpl w:val="3EF494F6"/>
    <w:styleLink w:val="WWNum5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DE7128D"/>
    <w:multiLevelType w:val="multilevel"/>
    <w:tmpl w:val="DD4C3A80"/>
    <w:styleLink w:val="WWNum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0" w15:restartNumberingAfterBreak="0">
    <w:nsid w:val="10CC1080"/>
    <w:multiLevelType w:val="multilevel"/>
    <w:tmpl w:val="58E0017A"/>
    <w:styleLink w:val="WWNum4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3195D1F"/>
    <w:multiLevelType w:val="multilevel"/>
    <w:tmpl w:val="8EE68B72"/>
    <w:styleLink w:val="WWNum4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8052679"/>
    <w:multiLevelType w:val="multilevel"/>
    <w:tmpl w:val="5BEE2A9A"/>
    <w:styleLink w:val="WWNum1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3" w15:restartNumberingAfterBreak="0">
    <w:nsid w:val="1C8A196A"/>
    <w:multiLevelType w:val="multilevel"/>
    <w:tmpl w:val="51965794"/>
    <w:styleLink w:val="WWNum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0F64330"/>
    <w:multiLevelType w:val="multilevel"/>
    <w:tmpl w:val="86AAC7E8"/>
    <w:styleLink w:val="WWNum3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1741FF5"/>
    <w:multiLevelType w:val="multilevel"/>
    <w:tmpl w:val="4CE0BC50"/>
    <w:styleLink w:val="WWNum53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1DB11D4"/>
    <w:multiLevelType w:val="multilevel"/>
    <w:tmpl w:val="5008D356"/>
    <w:styleLink w:val="WWNum3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28C0E9F"/>
    <w:multiLevelType w:val="multilevel"/>
    <w:tmpl w:val="3E467ED2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35354C4"/>
    <w:multiLevelType w:val="multilevel"/>
    <w:tmpl w:val="33966340"/>
    <w:styleLink w:val="WWNum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3DD0E1A"/>
    <w:multiLevelType w:val="multilevel"/>
    <w:tmpl w:val="3E6ACF70"/>
    <w:styleLink w:val="WWNum2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0" w15:restartNumberingAfterBreak="0">
    <w:nsid w:val="25003940"/>
    <w:multiLevelType w:val="multilevel"/>
    <w:tmpl w:val="26784DE6"/>
    <w:styleLink w:val="WWNum3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1" w15:restartNumberingAfterBreak="0">
    <w:nsid w:val="2CB55BB7"/>
    <w:multiLevelType w:val="multilevel"/>
    <w:tmpl w:val="A4D07180"/>
    <w:styleLink w:val="WWNum1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2" w15:restartNumberingAfterBreak="0">
    <w:nsid w:val="2FC5564A"/>
    <w:multiLevelType w:val="multilevel"/>
    <w:tmpl w:val="2D36FD18"/>
    <w:styleLink w:val="WWNum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9027CA"/>
    <w:multiLevelType w:val="multilevel"/>
    <w:tmpl w:val="5F3AD15C"/>
    <w:styleLink w:val="WWNum3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1DB537E"/>
    <w:multiLevelType w:val="multilevel"/>
    <w:tmpl w:val="79C8738C"/>
    <w:styleLink w:val="WWNum1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5" w15:restartNumberingAfterBreak="0">
    <w:nsid w:val="31FE0B8A"/>
    <w:multiLevelType w:val="multilevel"/>
    <w:tmpl w:val="A89AAA02"/>
    <w:styleLink w:val="WWNum4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4710C0C"/>
    <w:multiLevelType w:val="multilevel"/>
    <w:tmpl w:val="ADB2FF84"/>
    <w:styleLink w:val="WWNum2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7" w15:restartNumberingAfterBreak="0">
    <w:nsid w:val="36936839"/>
    <w:multiLevelType w:val="multilevel"/>
    <w:tmpl w:val="63A88F3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6EF2358"/>
    <w:multiLevelType w:val="multilevel"/>
    <w:tmpl w:val="53D47E70"/>
    <w:styleLink w:val="WWNum7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73B08BE"/>
    <w:multiLevelType w:val="multilevel"/>
    <w:tmpl w:val="4168A9AA"/>
    <w:styleLink w:val="WWNum1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0" w15:restartNumberingAfterBreak="0">
    <w:nsid w:val="39DD0A2A"/>
    <w:multiLevelType w:val="multilevel"/>
    <w:tmpl w:val="2BD88A9E"/>
    <w:styleLink w:val="WWNum3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1" w15:restartNumberingAfterBreak="0">
    <w:nsid w:val="3F12583B"/>
    <w:multiLevelType w:val="multilevel"/>
    <w:tmpl w:val="2A44BF52"/>
    <w:styleLink w:val="WWNum2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2" w15:restartNumberingAfterBreak="0">
    <w:nsid w:val="40054CCB"/>
    <w:multiLevelType w:val="multilevel"/>
    <w:tmpl w:val="A1500E68"/>
    <w:styleLink w:val="WWNum5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13004AD"/>
    <w:multiLevelType w:val="multilevel"/>
    <w:tmpl w:val="12D02192"/>
    <w:styleLink w:val="WWNum4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3DE5191"/>
    <w:multiLevelType w:val="multilevel"/>
    <w:tmpl w:val="DB480EB4"/>
    <w:styleLink w:val="WWNum2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5" w15:restartNumberingAfterBreak="0">
    <w:nsid w:val="47874440"/>
    <w:multiLevelType w:val="multilevel"/>
    <w:tmpl w:val="045E0556"/>
    <w:styleLink w:val="WWNum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A706A6F"/>
    <w:multiLevelType w:val="multilevel"/>
    <w:tmpl w:val="E70E8828"/>
    <w:styleLink w:val="WWNum3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7" w15:restartNumberingAfterBreak="0">
    <w:nsid w:val="4CC73CA3"/>
    <w:multiLevelType w:val="multilevel"/>
    <w:tmpl w:val="FA3A4784"/>
    <w:styleLink w:val="WWNum1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8" w15:restartNumberingAfterBreak="0">
    <w:nsid w:val="4D9F05D5"/>
    <w:multiLevelType w:val="multilevel"/>
    <w:tmpl w:val="B4B06046"/>
    <w:styleLink w:val="WWNum2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9" w15:restartNumberingAfterBreak="0">
    <w:nsid w:val="4F5110EB"/>
    <w:multiLevelType w:val="multilevel"/>
    <w:tmpl w:val="65A85E0A"/>
    <w:styleLink w:val="WWNum3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1520235"/>
    <w:multiLevelType w:val="multilevel"/>
    <w:tmpl w:val="9A3C8844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41E48FC"/>
    <w:multiLevelType w:val="multilevel"/>
    <w:tmpl w:val="62A235AC"/>
    <w:styleLink w:val="WWNum1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8155C82"/>
    <w:multiLevelType w:val="multilevel"/>
    <w:tmpl w:val="6D745B5C"/>
    <w:styleLink w:val="WWNum1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3" w15:restartNumberingAfterBreak="0">
    <w:nsid w:val="58585D8F"/>
    <w:multiLevelType w:val="multilevel"/>
    <w:tmpl w:val="0D8ADCA2"/>
    <w:styleLink w:val="WWNum1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4" w15:restartNumberingAfterBreak="0">
    <w:nsid w:val="58F16A8A"/>
    <w:multiLevelType w:val="multilevel"/>
    <w:tmpl w:val="0686828C"/>
    <w:styleLink w:val="WWNum2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5" w15:restartNumberingAfterBreak="0">
    <w:nsid w:val="5ADC6EDB"/>
    <w:multiLevelType w:val="multilevel"/>
    <w:tmpl w:val="4940B3D8"/>
    <w:styleLink w:val="WWNum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EA937CE"/>
    <w:multiLevelType w:val="multilevel"/>
    <w:tmpl w:val="19F8A0D8"/>
    <w:styleLink w:val="WWNum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0747BE3"/>
    <w:multiLevelType w:val="multilevel"/>
    <w:tmpl w:val="080AB762"/>
    <w:styleLink w:val="WWNum2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8" w15:restartNumberingAfterBreak="0">
    <w:nsid w:val="67E80796"/>
    <w:multiLevelType w:val="multilevel"/>
    <w:tmpl w:val="7CBCDCBE"/>
    <w:styleLink w:val="WWNum1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9" w15:restartNumberingAfterBreak="0">
    <w:nsid w:val="69BD39B3"/>
    <w:multiLevelType w:val="multilevel"/>
    <w:tmpl w:val="7228DEF8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0" w15:restartNumberingAfterBreak="0">
    <w:nsid w:val="6EFD3222"/>
    <w:multiLevelType w:val="multilevel"/>
    <w:tmpl w:val="10D298E6"/>
    <w:styleLink w:val="WWNum2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1" w15:restartNumberingAfterBreak="0">
    <w:nsid w:val="703B5D97"/>
    <w:multiLevelType w:val="multilevel"/>
    <w:tmpl w:val="819CBAFA"/>
    <w:styleLink w:val="WWNum5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1B170BA"/>
    <w:multiLevelType w:val="multilevel"/>
    <w:tmpl w:val="A418ADC2"/>
    <w:styleLink w:val="WWNum2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3" w15:restartNumberingAfterBreak="0">
    <w:nsid w:val="73280EDE"/>
    <w:multiLevelType w:val="multilevel"/>
    <w:tmpl w:val="0966FD4E"/>
    <w:styleLink w:val="WWNum5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76493000"/>
    <w:multiLevelType w:val="multilevel"/>
    <w:tmpl w:val="3C7CBD7A"/>
    <w:styleLink w:val="WWNum3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9B738A2"/>
    <w:multiLevelType w:val="multilevel"/>
    <w:tmpl w:val="C532A4A8"/>
    <w:styleLink w:val="WWNum6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BE7102B"/>
    <w:multiLevelType w:val="multilevel"/>
    <w:tmpl w:val="02F23CCA"/>
    <w:styleLink w:val="WWNum4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EB541C7"/>
    <w:multiLevelType w:val="multilevel"/>
    <w:tmpl w:val="53682A48"/>
    <w:styleLink w:val="WWNum1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num w:numId="1">
    <w:abstractNumId w:val="27"/>
  </w:num>
  <w:num w:numId="2">
    <w:abstractNumId w:val="41"/>
  </w:num>
  <w:num w:numId="3">
    <w:abstractNumId w:val="35"/>
  </w:num>
  <w:num w:numId="4">
    <w:abstractNumId w:val="54"/>
  </w:num>
  <w:num w:numId="5">
    <w:abstractNumId w:val="33"/>
  </w:num>
  <w:num w:numId="6">
    <w:abstractNumId w:val="18"/>
  </w:num>
  <w:num w:numId="7">
    <w:abstractNumId w:val="55"/>
  </w:num>
  <w:num w:numId="8">
    <w:abstractNumId w:val="28"/>
  </w:num>
  <w:num w:numId="9">
    <w:abstractNumId w:val="4"/>
  </w:num>
  <w:num w:numId="10">
    <w:abstractNumId w:val="9"/>
  </w:num>
  <w:num w:numId="11">
    <w:abstractNumId w:val="42"/>
  </w:num>
  <w:num w:numId="12">
    <w:abstractNumId w:val="21"/>
  </w:num>
  <w:num w:numId="13">
    <w:abstractNumId w:val="37"/>
  </w:num>
  <w:num w:numId="14">
    <w:abstractNumId w:val="6"/>
  </w:num>
  <w:num w:numId="15">
    <w:abstractNumId w:val="24"/>
  </w:num>
  <w:num w:numId="16">
    <w:abstractNumId w:val="12"/>
  </w:num>
  <w:num w:numId="17">
    <w:abstractNumId w:val="43"/>
  </w:num>
  <w:num w:numId="18">
    <w:abstractNumId w:val="48"/>
  </w:num>
  <w:num w:numId="19">
    <w:abstractNumId w:val="57"/>
  </w:num>
  <w:num w:numId="20">
    <w:abstractNumId w:val="29"/>
  </w:num>
  <w:num w:numId="21">
    <w:abstractNumId w:val="34"/>
  </w:num>
  <w:num w:numId="22">
    <w:abstractNumId w:val="26"/>
  </w:num>
  <w:num w:numId="23">
    <w:abstractNumId w:val="1"/>
  </w:num>
  <w:num w:numId="24">
    <w:abstractNumId w:val="47"/>
  </w:num>
  <w:num w:numId="25">
    <w:abstractNumId w:val="52"/>
  </w:num>
  <w:num w:numId="26">
    <w:abstractNumId w:val="31"/>
  </w:num>
  <w:num w:numId="27">
    <w:abstractNumId w:val="19"/>
  </w:num>
  <w:num w:numId="28">
    <w:abstractNumId w:val="44"/>
  </w:num>
  <w:num w:numId="29">
    <w:abstractNumId w:val="38"/>
  </w:num>
  <w:num w:numId="30">
    <w:abstractNumId w:val="50"/>
  </w:num>
  <w:num w:numId="31">
    <w:abstractNumId w:val="20"/>
  </w:num>
  <w:num w:numId="32">
    <w:abstractNumId w:val="49"/>
  </w:num>
  <w:num w:numId="33">
    <w:abstractNumId w:val="36"/>
  </w:num>
  <w:num w:numId="34">
    <w:abstractNumId w:val="5"/>
  </w:num>
  <w:num w:numId="35">
    <w:abstractNumId w:val="30"/>
  </w:num>
  <w:num w:numId="36">
    <w:abstractNumId w:val="16"/>
  </w:num>
  <w:num w:numId="37">
    <w:abstractNumId w:val="14"/>
  </w:num>
  <w:num w:numId="38">
    <w:abstractNumId w:val="39"/>
  </w:num>
  <w:num w:numId="39">
    <w:abstractNumId w:val="0"/>
  </w:num>
  <w:num w:numId="40">
    <w:abstractNumId w:val="23"/>
  </w:num>
  <w:num w:numId="41">
    <w:abstractNumId w:val="13"/>
  </w:num>
  <w:num w:numId="42">
    <w:abstractNumId w:val="25"/>
  </w:num>
  <w:num w:numId="43">
    <w:abstractNumId w:val="45"/>
  </w:num>
  <w:num w:numId="44">
    <w:abstractNumId w:val="3"/>
  </w:num>
  <w:num w:numId="45">
    <w:abstractNumId w:val="2"/>
  </w:num>
  <w:num w:numId="46">
    <w:abstractNumId w:val="40"/>
  </w:num>
  <w:num w:numId="47">
    <w:abstractNumId w:val="11"/>
  </w:num>
  <w:num w:numId="48">
    <w:abstractNumId w:val="56"/>
  </w:num>
  <w:num w:numId="49">
    <w:abstractNumId w:val="22"/>
  </w:num>
  <w:num w:numId="50">
    <w:abstractNumId w:val="10"/>
  </w:num>
  <w:num w:numId="51">
    <w:abstractNumId w:val="51"/>
  </w:num>
  <w:num w:numId="52">
    <w:abstractNumId w:val="32"/>
  </w:num>
  <w:num w:numId="53">
    <w:abstractNumId w:val="53"/>
  </w:num>
  <w:num w:numId="54">
    <w:abstractNumId w:val="15"/>
  </w:num>
  <w:num w:numId="55">
    <w:abstractNumId w:val="46"/>
  </w:num>
  <w:num w:numId="56">
    <w:abstractNumId w:val="8"/>
  </w:num>
  <w:num w:numId="57">
    <w:abstractNumId w:val="7"/>
  </w:num>
  <w:num w:numId="58">
    <w:abstractNumId w:val="17"/>
  </w:num>
  <w:num w:numId="59">
    <w:abstractNumId w:val="6"/>
    <w:lvlOverride w:ilvl="0"/>
  </w:num>
  <w:num w:numId="60">
    <w:abstractNumId w:val="42"/>
    <w:lvlOverride w:ilvl="0"/>
  </w:num>
  <w:num w:numId="61">
    <w:abstractNumId w:val="9"/>
    <w:lvlOverride w:ilvl="0"/>
  </w:num>
  <w:num w:numId="62">
    <w:abstractNumId w:val="52"/>
    <w:lvlOverride w:ilvl="0"/>
  </w:num>
  <w:num w:numId="63">
    <w:abstractNumId w:val="41"/>
    <w:lvlOverride w:ilvl="0"/>
  </w:num>
  <w:num w:numId="64">
    <w:abstractNumId w:val="18"/>
    <w:lvlOverride w:ilvl="0"/>
  </w:num>
  <w:num w:numId="65">
    <w:abstractNumId w:val="55"/>
    <w:lvlOverride w:ilvl="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50832"/>
    <w:rsid w:val="00050832"/>
    <w:rsid w:val="00D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CAE09-ED6D-473C-88CE-200A445E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Standard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Nagwek5">
    <w:name w:val="heading 5"/>
    <w:basedOn w:val="Standard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opkaCopyright">
    <w:name w:val="Stopka Copyright"/>
    <w:basedOn w:val="Standard"/>
    <w:pPr>
      <w:jc w:val="both"/>
    </w:pPr>
    <w:rPr>
      <w:rFonts w:ascii="Roboto" w:eastAsia="Calibri" w:hAnsi="Roboto" w:cs="Roboto"/>
      <w:iCs/>
      <w:color w:val="000000"/>
      <w:sz w:val="16"/>
      <w:szCs w:val="18"/>
      <w:lang w:eastAsia="en-US"/>
    </w:rPr>
  </w:style>
  <w:style w:type="paragraph" w:customStyle="1" w:styleId="StronaTytuowaCopyright">
    <w:name w:val="Strona Tytułowa Copyright"/>
    <w:basedOn w:val="Standard"/>
    <w:pPr>
      <w:spacing w:line="276" w:lineRule="auto"/>
      <w:jc w:val="center"/>
    </w:pPr>
    <w:rPr>
      <w:rFonts w:ascii="Roboto Light" w:eastAsia="Calibri" w:hAnsi="Roboto Light" w:cs="Roboto Light"/>
      <w:iCs/>
      <w:color w:val="000000"/>
      <w:sz w:val="20"/>
      <w:szCs w:val="20"/>
      <w:lang w:eastAsia="en-US"/>
    </w:rPr>
  </w:style>
  <w:style w:type="paragraph" w:customStyle="1" w:styleId="StronaTytuowaTytu">
    <w:name w:val="Strona Tytułowa Tytuł"/>
    <w:pPr>
      <w:jc w:val="center"/>
    </w:pPr>
    <w:rPr>
      <w:rFonts w:ascii="Roboto" w:eastAsia="Calibri" w:hAnsi="Roboto" w:cs="Roboto"/>
      <w:sz w:val="64"/>
      <w:lang w:eastAsia="en-US"/>
    </w:rPr>
  </w:style>
  <w:style w:type="paragraph" w:customStyle="1" w:styleId="StronaTytuowaAutorzy">
    <w:name w:val="Strona Tytułowa Autorzy"/>
    <w:pPr>
      <w:jc w:val="center"/>
    </w:pPr>
    <w:rPr>
      <w:rFonts w:ascii="Roboto Light" w:eastAsia="Calibri" w:hAnsi="Roboto Light" w:cs="Roboto Light"/>
      <w:color w:val="000000"/>
      <w:sz w:val="32"/>
      <w:szCs w:val="32"/>
      <w:lang w:eastAsia="en-US"/>
    </w:rPr>
  </w:style>
  <w:style w:type="paragraph" w:customStyle="1" w:styleId="PodtytulArial14">
    <w:name w:val="Podtytul Arial 14"/>
    <w:basedOn w:val="TytulArial20"/>
    <w:pPr>
      <w:spacing w:before="0"/>
    </w:pPr>
    <w:rPr>
      <w:sz w:val="28"/>
      <w:szCs w:val="28"/>
    </w:rPr>
  </w:style>
  <w:style w:type="paragraph" w:customStyle="1" w:styleId="TytulArial20">
    <w:name w:val="Tytul Arial 20"/>
    <w:basedOn w:val="Nagwek2"/>
    <w:pPr>
      <w:spacing w:line="276" w:lineRule="auto"/>
    </w:pPr>
    <w:rPr>
      <w:rFonts w:ascii="Arial" w:eastAsia="Arial" w:hAnsi="Arial" w:cs="Arial"/>
      <w:color w:val="92D050"/>
      <w:sz w:val="40"/>
      <w:szCs w:val="40"/>
      <w:lang w:eastAsia="en-US"/>
    </w:rPr>
  </w:style>
  <w:style w:type="paragraph" w:styleId="Poprawka">
    <w:name w:val="Revision"/>
  </w:style>
  <w:style w:type="paragraph" w:styleId="Tematkomentarza">
    <w:name w:val="annotation subject"/>
    <w:basedOn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Podtytu">
    <w:name w:val="Subtitle"/>
    <w:basedOn w:val="Standard"/>
    <w:rPr>
      <w:rFonts w:ascii="Cambria" w:eastAsia="Cambria" w:hAnsi="Cambria" w:cs="Cambria"/>
      <w:i/>
      <w:iCs/>
      <w:color w:val="4F81BD"/>
      <w:spacing w:val="15"/>
    </w:rPr>
  </w:style>
  <w:style w:type="paragraph" w:styleId="Listapunktowana2">
    <w:name w:val="List Bullet 2"/>
    <w:basedOn w:val="Standard"/>
    <w:pPr>
      <w:tabs>
        <w:tab w:val="left" w:pos="1286"/>
        <w:tab w:val="left" w:pos="1363"/>
      </w:tabs>
      <w:ind w:left="643" w:hanging="360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ascii="Arial" w:eastAsia="Arial" w:hAnsi="Arial"/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Standard"/>
    <w:pPr>
      <w:jc w:val="center"/>
    </w:pPr>
    <w:rPr>
      <w:szCs w:val="20"/>
    </w:rPr>
  </w:style>
  <w:style w:type="paragraph" w:customStyle="1" w:styleId="Kolorowalistaakcent11">
    <w:name w:val="Kolorowa lista — akcent 11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PodtytulArial14Znak">
    <w:name w:val="Podtytul Arial 14 Znak"/>
    <w:basedOn w:val="TytulArial20Znak"/>
    <w:rPr>
      <w:rFonts w:ascii="Arial" w:eastAsia="Arial" w:hAnsi="Arial" w:cs="Arial"/>
      <w:b/>
      <w:bCs/>
      <w:color w:val="92D050"/>
      <w:sz w:val="28"/>
      <w:szCs w:val="28"/>
      <w:lang w:eastAsia="en-US"/>
    </w:rPr>
  </w:style>
  <w:style w:type="character" w:customStyle="1" w:styleId="TytulArial20Znak">
    <w:name w:val="Tytul Arial 20 Znak"/>
    <w:basedOn w:val="Nagwek2Znak"/>
    <w:rPr>
      <w:rFonts w:ascii="Arial" w:eastAsia="Arial" w:hAnsi="Arial" w:cs="Arial"/>
      <w:b/>
      <w:bCs/>
      <w:color w:val="92D050"/>
      <w:sz w:val="40"/>
      <w:szCs w:val="40"/>
      <w:lang w:eastAsia="en-US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</w:rPr>
  </w:style>
  <w:style w:type="character" w:customStyle="1" w:styleId="TekstkomentarzaZnak">
    <w:name w:val="Tekst komentarza Znak"/>
    <w:basedOn w:val="Domylnaczcionkaakapitu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PodtytuZnak">
    <w:name w:val="Podtytuł Znak"/>
    <w:basedOn w:val="Domylnaczcionkaakapitu"/>
    <w:rPr>
      <w:rFonts w:ascii="Cambria" w:eastAsia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Pr>
      <w:rFonts w:cs="Times New Roman"/>
      <w:sz w:val="24"/>
      <w:szCs w:val="24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podstawowyZnak">
    <w:name w:val="Tekst podstawowy Znak"/>
    <w:basedOn w:val="Domylnaczcionkaakapitu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cs="Times New Roman"/>
    </w:rPr>
  </w:style>
  <w:style w:type="character" w:customStyle="1" w:styleId="TytuZnak">
    <w:name w:val="Tytuł Znak"/>
    <w:basedOn w:val="Domylnaczcionkaakapitu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Nagwek6Znak">
    <w:name w:val="Nagłówek 6 Znak"/>
    <w:basedOn w:val="Domylnaczcionkaakapitu"/>
    <w:rPr>
      <w:rFonts w:ascii="Calibri" w:eastAsia="Calibri" w:hAnsi="Calibri" w:cs="Times New Roman"/>
      <w:b/>
      <w:bCs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mbria" w:eastAsia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3Znak">
    <w:name w:val="Nagłówek 3 Znak"/>
    <w:basedOn w:val="Domylnaczcionkaakapitu"/>
    <w:rPr>
      <w:rFonts w:ascii="Cambria" w:eastAsia="Cambria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rPr>
      <w:rFonts w:ascii="Cambria" w:eastAsia="Cambria" w:hAnsi="Cambria" w:cs="Times New Roman"/>
      <w:b/>
      <w:bCs/>
      <w:color w:val="4F81BD"/>
      <w:sz w:val="26"/>
      <w:szCs w:val="26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  <w:style w:type="numbering" w:customStyle="1" w:styleId="WWNum52">
    <w:name w:val="WWNum52"/>
    <w:basedOn w:val="Bezlisty"/>
    <w:pPr>
      <w:numPr>
        <w:numId w:val="53"/>
      </w:numPr>
    </w:pPr>
  </w:style>
  <w:style w:type="numbering" w:customStyle="1" w:styleId="WWNum53">
    <w:name w:val="WWNum53"/>
    <w:basedOn w:val="Bezlisty"/>
    <w:pPr>
      <w:numPr>
        <w:numId w:val="54"/>
      </w:numPr>
    </w:pPr>
  </w:style>
  <w:style w:type="numbering" w:customStyle="1" w:styleId="WWNum54">
    <w:name w:val="WWNum54"/>
    <w:basedOn w:val="Bezlisty"/>
    <w:pPr>
      <w:numPr>
        <w:numId w:val="55"/>
      </w:numPr>
    </w:pPr>
  </w:style>
  <w:style w:type="numbering" w:customStyle="1" w:styleId="WWNum55">
    <w:name w:val="WWNum55"/>
    <w:basedOn w:val="Bezlisty"/>
    <w:pPr>
      <w:numPr>
        <w:numId w:val="56"/>
      </w:numPr>
    </w:pPr>
  </w:style>
  <w:style w:type="numbering" w:customStyle="1" w:styleId="WWNum56">
    <w:name w:val="WWNum56"/>
    <w:basedOn w:val="Bezlisty"/>
    <w:pPr>
      <w:numPr>
        <w:numId w:val="57"/>
      </w:numPr>
    </w:pPr>
  </w:style>
  <w:style w:type="numbering" w:customStyle="1" w:styleId="WWNum57">
    <w:name w:val="WWNum57"/>
    <w:basedOn w:val="Bezlisty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2025-08-31T10:21:00Z</dcterms:created>
  <dcterms:modified xsi:type="dcterms:W3CDTF">2025-08-31T10:21:00Z</dcterms:modified>
</cp:coreProperties>
</file>